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Номинация «Педагог -психолог» Азизова Лола Амиргаджиевна </w:t>
      </w:r>
      <w:r>
        <w:rPr>
          <w:rFonts w:ascii="Times New Roman" w:hAnsi="Times New Roman" w:cs="Times New Roman"/>
          <w:sz w:val="28"/>
          <w:szCs w:val="28"/>
        </w:rPr>
      </w:r>
    </w:p>
    <w:p>
      <w:pPr>
        <w:jc w:val="center"/>
        <w:rPr>
          <w:rFonts w:ascii="Times New Roman" w:hAnsi="Times New Roman" w:cs="Times New Roman"/>
          <w:sz w:val="28"/>
          <w:szCs w:val="28"/>
        </w:rPr>
      </w:pPr>
      <w:r>
        <w:rPr>
          <w:rFonts w:ascii="Times New Roman" w:hAnsi="Times New Roman" w:cs="Times New Roman"/>
          <w:sz w:val="28"/>
          <w:szCs w:val="28"/>
        </w:rPr>
        <w:t xml:space="preserve">МБДОУ «Брусничка» Ямало-Ненецкого автономного округа г.Губкинский.</w:t>
      </w:r>
      <w:r>
        <w:rPr>
          <w:rFonts w:ascii="Times New Roman" w:hAnsi="Times New Roman" w:cs="Times New Roman"/>
          <w:sz w:val="28"/>
          <w:szCs w:val="28"/>
          <w:highlight w:val="none"/>
        </w:rPr>
      </w:r>
      <w:r/>
    </w:p>
    <w:p>
      <w:pPr>
        <w:jc w:val="center"/>
        <w:rPr>
          <w:rFonts w:ascii="Times New Roman" w:hAnsi="Times New Roman" w:cs="Times New Roman"/>
          <w:sz w:val="28"/>
          <w:szCs w:val="28"/>
          <w:highlight w:val="none"/>
        </w:rPr>
      </w:pPr>
      <w:r>
        <w:rPr>
          <w:rFonts w:ascii="Times New Roman" w:hAnsi="Times New Roman" w:cs="Times New Roman"/>
          <w:sz w:val="28"/>
          <w:szCs w:val="28"/>
        </w:rPr>
        <w:t xml:space="preserve"> Программа формирование логико-мыслительной</w:t>
      </w:r>
      <w:r>
        <w:rPr>
          <w:rFonts w:ascii="Times New Roman" w:hAnsi="Times New Roman" w:cs="Times New Roman"/>
          <w:sz w:val="28"/>
          <w:szCs w:val="28"/>
        </w:rPr>
        <w:t xml:space="preserve"> деятельности с использованием игровых приемов у старших дошкольников с задержкой психического развития на коррекционных занятиях  </w:t>
      </w:r>
      <w:r>
        <w:rPr>
          <w:rFonts w:ascii="Times New Roman" w:hAnsi="Times New Roman" w:cs="Times New Roman"/>
          <w:sz w:val="28"/>
          <w:szCs w:val="28"/>
          <w:highlight w:val="none"/>
        </w:rPr>
      </w:r>
      <w:r/>
    </w:p>
    <w:p>
      <w:pPr>
        <w:jc w:val="center"/>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highlight w:val="none"/>
        </w:rPr>
      </w:r>
    </w:p>
    <w:p>
      <w:pPr>
        <w:jc w:val="both"/>
        <w:rPr>
          <w:rFonts w:ascii="Times New Roman" w:hAnsi="Times New Roman" w:cs="Times New Roman"/>
          <w:sz w:val="28"/>
          <w:szCs w:val="28"/>
        </w:rPr>
      </w:pPr>
      <w:r>
        <w:rPr>
          <w:rFonts w:ascii="Times New Roman" w:hAnsi="Times New Roman" w:cs="Times New Roman"/>
          <w:sz w:val="28"/>
          <w:szCs w:val="28"/>
        </w:rPr>
        <w:t xml:space="preserve">Одной из тенденций современного специального образования является рост интереса, который проявляется к системе коррекционной </w:t>
      </w:r>
      <w:r>
        <w:rPr>
          <w:rFonts w:ascii="Times New Roman" w:hAnsi="Times New Roman" w:cs="Times New Roman"/>
          <w:sz w:val="28"/>
          <w:szCs w:val="28"/>
        </w:rPr>
        <w:t xml:space="preserve">подготовки детей с ограниченными возможностями здоровья с дошкольного возраста. </w:t>
      </w:r>
      <w:r>
        <w:rPr>
          <w:rFonts w:ascii="Times New Roman" w:hAnsi="Times New Roman" w:cs="Times New Roman"/>
          <w:sz w:val="28"/>
          <w:szCs w:val="28"/>
          <w:highlight w:val="none"/>
        </w:rPr>
      </w:r>
    </w:p>
    <w:p>
      <w:pPr>
        <w:jc w:val="both"/>
        <w:rPr>
          <w:rFonts w:ascii="Times New Roman" w:hAnsi="Times New Roman" w:cs="Times New Roman"/>
          <w:sz w:val="28"/>
          <w:szCs w:val="28"/>
        </w:rPr>
      </w:pPr>
      <w:r>
        <w:rPr>
          <w:rFonts w:ascii="Times New Roman" w:hAnsi="Times New Roman" w:cs="Times New Roman"/>
          <w:sz w:val="28"/>
          <w:szCs w:val="28"/>
        </w:rPr>
        <w:t xml:space="preserve">Для категории таких детей, у которых диагностирована задержка психического развития, необходимость раннего развития умений самостоятельно познавать мир: получать, анализировать</w:t>
      </w:r>
      <w:r>
        <w:rPr>
          <w:rFonts w:ascii="Times New Roman" w:hAnsi="Times New Roman" w:cs="Times New Roman"/>
          <w:sz w:val="28"/>
          <w:szCs w:val="28"/>
        </w:rPr>
        <w:t xml:space="preserve"> и синтезировать информацию, сравнивать окружающие предметы и явления, делать выводы и выяснять закономерности, обобщать и конкретизировать, упорядочивать и классифицировать представления и понятия, становится жизненной потребностью</w:t>
      </w:r>
      <w:r>
        <w:rPr>
          <w:rFonts w:ascii="Times New Roman" w:hAnsi="Times New Roman" w:cs="Times New Roman"/>
          <w:sz w:val="28"/>
          <w:szCs w:val="28"/>
        </w:rPr>
        <w:t xml:space="preserve">. </w:t>
      </w:r>
      <w:r>
        <w:rPr>
          <w:rFonts w:ascii="Times New Roman" w:hAnsi="Times New Roman" w:cs="Times New Roman"/>
          <w:sz w:val="28"/>
          <w:szCs w:val="28"/>
          <w:highlight w:val="none"/>
        </w:rPr>
      </w:r>
    </w:p>
    <w:p>
      <w:pPr>
        <w:jc w:val="both"/>
        <w:rPr>
          <w:rFonts w:ascii="Times New Roman" w:hAnsi="Times New Roman" w:cs="Times New Roman"/>
          <w:sz w:val="28"/>
          <w:szCs w:val="28"/>
          <w:highlight w:val="none"/>
        </w:rPr>
      </w:pPr>
      <w:r>
        <w:rPr>
          <w:rFonts w:ascii="Times New Roman" w:hAnsi="Times New Roman" w:cs="Times New Roman"/>
          <w:sz w:val="28"/>
          <w:szCs w:val="28"/>
        </w:rPr>
        <w:t xml:space="preserve">Именно умение мыслить может помочь дошкольнику впоследствии успешно учиться в школе.  Исходя из данных оснований, б</w:t>
      </w:r>
      <w:r>
        <w:rPr>
          <w:rFonts w:ascii="Times New Roman" w:hAnsi="Times New Roman" w:cs="Times New Roman"/>
          <w:sz w:val="28"/>
          <w:szCs w:val="28"/>
        </w:rPr>
        <w:t xml:space="preserve">ыла разработана «Программа формирования логико-мыслительной деятельности с использованием игровых приемов у старших дошкольников с задержкой психического развития на коррекционных занятиях» и иллюстрированная рабочая тетрадь к нему.  Программа предусматрив</w:t>
      </w:r>
      <w:r>
        <w:rPr>
          <w:rFonts w:ascii="Times New Roman" w:hAnsi="Times New Roman" w:cs="Times New Roman"/>
          <w:sz w:val="28"/>
          <w:szCs w:val="28"/>
        </w:rPr>
        <w:t xml:space="preserve">ает организацию работы с детьми на шести этапах:  Первый этап предусматривает использование системы заданий на построение упорядоченных возрастающих или убывающих, рядов (так  8 называемую сериацию). </w:t>
      </w:r>
      <w:r/>
      <w:r/>
    </w:p>
    <w:p>
      <w:pPr>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t xml:space="preserve">Классический пример сериации – матрёшки, пирамидки, вкладные мисочки. Сериации детям можно представить по длине, высоте, ширине. При этом используются активизирующие вопросы типа: «Раскрась башни», «Что бывает широкое, длинное, высокое, низкое, узкое?», «К</w:t>
      </w:r>
      <w:r>
        <w:rPr>
          <w:rFonts w:ascii="Times New Roman" w:hAnsi="Times New Roman" w:cs="Times New Roman"/>
          <w:sz w:val="28"/>
          <w:szCs w:val="28"/>
        </w:rPr>
        <w:t xml:space="preserve">акой крокодил самый длинный?», «Кто быстрее всех бегает», «Что толще?», «Кто выше?», «Какова длина забора?».  На втором этапе, используются задания по выделению свойств объекта, или самого объекта из группы по определённому признаку и соединение различных </w:t>
      </w:r>
      <w:r>
        <w:rPr>
          <w:rFonts w:ascii="Times New Roman" w:hAnsi="Times New Roman" w:cs="Times New Roman"/>
          <w:sz w:val="28"/>
          <w:szCs w:val="28"/>
        </w:rPr>
        <w:t xml:space="preserve">элементов в единое целое (т.е. умственные действия анализа и синтеза).</w:t>
      </w:r>
      <w:r>
        <w:rPr>
          <w:rFonts w:ascii="Times New Roman" w:hAnsi="Times New Roman" w:cs="Times New Roman"/>
          <w:sz w:val="28"/>
          <w:szCs w:val="28"/>
        </w:rPr>
      </w:r>
    </w:p>
    <w:p>
      <w:pPr>
        <w:jc w:val="both"/>
        <w:rPr>
          <w:rFonts w:ascii="Times New Roman" w:hAnsi="Times New Roman" w:cs="Times New Roman"/>
          <w:sz w:val="28"/>
          <w:szCs w:val="28"/>
        </w:rPr>
      </w:pPr>
      <w:r>
        <w:rPr>
          <w:rFonts w:ascii="Times New Roman" w:hAnsi="Times New Roman" w:cs="Times New Roman"/>
          <w:sz w:val="28"/>
          <w:szCs w:val="28"/>
        </w:rPr>
        <w:t xml:space="preserve"> Дело в том, что при задержке психического развития обучение детей синтезу и анализу приобретает первостепенное значение. Вначале необходимо обучить детей синтезу – соединению различных </w:t>
      </w:r>
      <w:r>
        <w:rPr>
          <w:rFonts w:ascii="Times New Roman" w:hAnsi="Times New Roman" w:cs="Times New Roman"/>
          <w:sz w:val="28"/>
          <w:szCs w:val="28"/>
        </w:rPr>
        <w:t xml:space="preserve">элементов в единое целое. Связано это с тем, что способность к синтезу формируется у ребёнка раньше, чем к анализу, и развивать её активно можно с помощью конструирования. </w:t>
      </w:r>
      <w:r>
        <w:rPr>
          <w:rFonts w:ascii="Times New Roman" w:hAnsi="Times New Roman" w:cs="Times New Roman"/>
          <w:sz w:val="28"/>
          <w:szCs w:val="28"/>
        </w:rPr>
      </w:r>
    </w:p>
    <w:p>
      <w:pPr>
        <w:jc w:val="both"/>
        <w:rPr>
          <w:rFonts w:ascii="Times New Roman" w:hAnsi="Times New Roman" w:cs="Times New Roman"/>
          <w:sz w:val="28"/>
          <w:szCs w:val="28"/>
        </w:rPr>
      </w:pPr>
      <w:r>
        <w:rPr>
          <w:rFonts w:ascii="Times New Roman" w:hAnsi="Times New Roman" w:cs="Times New Roman"/>
          <w:sz w:val="28"/>
          <w:szCs w:val="28"/>
        </w:rPr>
        <w:t xml:space="preserve">Для этого используются мозаика, кубики, конструктор, разрезные картинки. </w:t>
      </w:r>
      <w:r>
        <w:rPr>
          <w:rFonts w:ascii="Times New Roman" w:hAnsi="Times New Roman" w:cs="Times New Roman"/>
          <w:sz w:val="28"/>
          <w:szCs w:val="28"/>
        </w:rPr>
      </w:r>
    </w:p>
    <w:p>
      <w:pPr>
        <w:jc w:val="both"/>
        <w:rPr>
          <w:rFonts w:ascii="Times New Roman" w:hAnsi="Times New Roman" w:cs="Times New Roman"/>
          <w:sz w:val="28"/>
          <w:szCs w:val="28"/>
        </w:rPr>
      </w:pPr>
      <w:r>
        <w:rPr>
          <w:rFonts w:ascii="Times New Roman" w:hAnsi="Times New Roman" w:cs="Times New Roman"/>
          <w:sz w:val="28"/>
          <w:szCs w:val="28"/>
        </w:rPr>
        <w:t xml:space="preserve">На первых п</w:t>
      </w:r>
      <w:r>
        <w:rPr>
          <w:rFonts w:ascii="Times New Roman" w:hAnsi="Times New Roman" w:cs="Times New Roman"/>
          <w:sz w:val="28"/>
          <w:szCs w:val="28"/>
        </w:rPr>
        <w:t xml:space="preserve">орах ребёнок воспроизводит объект, повторяя за педагогам, затем - по памяти. После усваивает способ самостоятельно восстанавливать построение уже готового объекта. Последний этап ребёнок должен построить объект без образца. Затем обучаем детей анализу – вы</w:t>
      </w:r>
      <w:r>
        <w:rPr>
          <w:rFonts w:ascii="Times New Roman" w:hAnsi="Times New Roman" w:cs="Times New Roman"/>
          <w:sz w:val="28"/>
          <w:szCs w:val="28"/>
        </w:rPr>
        <w:t xml:space="preserve">делению свойств объекта, или самого объекта из группы по определённому признаку. Например, задаётся признак: все предметы кислые. Сначала у каждого объекта множества проверяется наличие или отсутствие этого признака, затем объекты выделяются и объединяются</w:t>
      </w:r>
      <w:r>
        <w:rPr>
          <w:rFonts w:ascii="Times New Roman" w:hAnsi="Times New Roman" w:cs="Times New Roman"/>
          <w:sz w:val="28"/>
          <w:szCs w:val="28"/>
        </w:rPr>
        <w:t xml:space="preserve"> в группу по признаку «кислые».  3 этап предполагает проведение работы по формированию у детей способности выявлять сходства признаков объекта и различия между ними, выделять одни признаки объекта и абстрагироваться от других.  На 4 этапе формируется умени</w:t>
      </w:r>
      <w:r>
        <w:rPr>
          <w:rFonts w:ascii="Times New Roman" w:hAnsi="Times New Roman" w:cs="Times New Roman"/>
          <w:sz w:val="28"/>
          <w:szCs w:val="28"/>
        </w:rPr>
        <w:t xml:space="preserve">е делать выводы, выделять и фиксировать общий признак двух и более объектов. Т.е. развитие мыслительного умения обобщения. </w:t>
      </w:r>
      <w:r/>
      <w:r/>
    </w:p>
    <w:p>
      <w:pPr>
        <w:jc w:val="both"/>
        <w:rPr>
          <w:rFonts w:ascii="Times New Roman" w:hAnsi="Times New Roman" w:cs="Times New Roman"/>
          <w:sz w:val="28"/>
          <w:szCs w:val="28"/>
        </w:rPr>
      </w:pPr>
      <w:r>
        <w:rPr>
          <w:rFonts w:ascii="Times New Roman" w:hAnsi="Times New Roman" w:cs="Times New Roman"/>
          <w:sz w:val="28"/>
          <w:szCs w:val="28"/>
        </w:rPr>
        <w:t xml:space="preserve"> Пятый и шестой этапы предполагают формирование умения классификации и умозаключения (суждения).  Яркий иллюстративный материал, ко</w:t>
      </w:r>
      <w:r>
        <w:rPr>
          <w:rFonts w:ascii="Times New Roman" w:hAnsi="Times New Roman" w:cs="Times New Roman"/>
          <w:sz w:val="28"/>
          <w:szCs w:val="28"/>
        </w:rPr>
        <w:t xml:space="preserve">торый используется в рабочей тетради, комплекс творческих заданий, игры, головоломки стимулируют активность детей и прививают интерес к умственной деятельности. Игровая форма заданий позволяет создать в процессе обучения комфортную эмоциональную атмосферу.</w:t>
      </w:r>
      <w:r>
        <w:rPr>
          <w:rFonts w:ascii="Times New Roman" w:hAnsi="Times New Roman" w:cs="Times New Roman"/>
          <w:sz w:val="28"/>
          <w:szCs w:val="28"/>
        </w:rPr>
        <w:t xml:space="preserve"> С самых первых занятий дети с интересом включаются в самостоятельную работу, учатся анализировать и оценивать результаты своей деятельности, отмечают успехи и исправляют недостатки, приобретают чувство уверенности в себе и в своих действиях. </w:t>
      </w:r>
      <w:r>
        <w:rPr>
          <w:rFonts w:ascii="Times New Roman" w:hAnsi="Times New Roman" w:cs="Times New Roman"/>
          <w:sz w:val="28"/>
          <w:szCs w:val="28"/>
        </w:rPr>
      </w:r>
    </w:p>
    <w:p>
      <w:pPr>
        <w:jc w:val="both"/>
        <w:rPr>
          <w:rFonts w:ascii="Times New Roman" w:hAnsi="Times New Roman" w:cs="Times New Roman"/>
          <w:sz w:val="28"/>
          <w:szCs w:val="28"/>
        </w:rPr>
      </w:pPr>
      <w:r>
        <w:rPr>
          <w:rFonts w:ascii="Times New Roman" w:hAnsi="Times New Roman" w:cs="Times New Roman"/>
          <w:sz w:val="28"/>
          <w:szCs w:val="28"/>
        </w:rPr>
        <w:t xml:space="preserve">Это несомненн</w:t>
      </w:r>
      <w:r>
        <w:rPr>
          <w:rFonts w:ascii="Times New Roman" w:hAnsi="Times New Roman" w:cs="Times New Roman"/>
          <w:sz w:val="28"/>
          <w:szCs w:val="28"/>
        </w:rPr>
        <w:t xml:space="preserve">о положительно сказывается на повышении их самооценки, развитии мыслительных возможностей.  В формировании у детей логико-мыслительной деятельности широко используются игровые приемы, сюрпризные моменты, дидактические игры, что позволяет легче и глубже усв</w:t>
      </w:r>
      <w:r>
        <w:rPr>
          <w:rFonts w:ascii="Times New Roman" w:hAnsi="Times New Roman" w:cs="Times New Roman"/>
          <w:sz w:val="28"/>
          <w:szCs w:val="28"/>
        </w:rPr>
        <w:t xml:space="preserve">оить необходимые знания.  Как показывает опыт реализации данной программы даже самый сложный материал необходимо преподносить детям в такой увлекательной форме, чтобы им хотелось заниматься еще и еще. «Учиться можно только весело»</w:t>
      </w:r>
      <w:r/>
      <w:r/>
    </w:p>
    <w:p>
      <w:pPr>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 Многие игры и упражнения строятся на материале различной трудности, что дает возм</w:t>
      </w:r>
      <w:r>
        <w:rPr>
          <w:rFonts w:ascii="Times New Roman" w:hAnsi="Times New Roman" w:cs="Times New Roman"/>
          <w:sz w:val="28"/>
          <w:szCs w:val="28"/>
        </w:rPr>
        <w:t xml:space="preserve">ожность осуществлять индивидуальный подход, обеспечив участие в одной игре детей с разным уровнем развития мыслительной деятельности. Огромную роль играет применение на занятиях игровых приемов. К примеру, большим успехом пользуется прием, когда дети «учат</w:t>
      </w:r>
      <w:r>
        <w:rPr>
          <w:rFonts w:ascii="Times New Roman" w:hAnsi="Times New Roman" w:cs="Times New Roman"/>
          <w:sz w:val="28"/>
          <w:szCs w:val="28"/>
        </w:rPr>
        <w:t xml:space="preserve">» учителя или детей из других групп находить правильное решение к той или иной задаче.</w:t>
      </w:r>
      <w:r>
        <w:rPr>
          <w:rFonts w:ascii="Times New Roman" w:hAnsi="Times New Roman" w:cs="Times New Roman"/>
          <w:sz w:val="28"/>
          <w:szCs w:val="28"/>
        </w:rPr>
      </w:r>
    </w:p>
    <w:p>
      <w:pPr>
        <w:jc w:val="both"/>
        <w:rPr>
          <w:rFonts w:ascii="Times New Roman" w:hAnsi="Times New Roman" w:cs="Times New Roman"/>
          <w:sz w:val="28"/>
          <w:szCs w:val="28"/>
        </w:rPr>
      </w:pPr>
      <w:r>
        <w:rPr>
          <w:rFonts w:ascii="Times New Roman" w:hAnsi="Times New Roman" w:cs="Times New Roman"/>
          <w:sz w:val="28"/>
          <w:szCs w:val="28"/>
        </w:rPr>
        <w:t xml:space="preserve">   Учитывая, что дети, посещающие данные коррекционные занятия имеют существенные проблемы в развитии, часто используется такой прием как нашептывание «на ушко», рекоме</w:t>
      </w:r>
      <w:r>
        <w:rPr>
          <w:rFonts w:ascii="Times New Roman" w:hAnsi="Times New Roman" w:cs="Times New Roman"/>
          <w:sz w:val="28"/>
          <w:szCs w:val="28"/>
        </w:rPr>
        <w:t xml:space="preserve">ндованный Ш.А. Амонашвили. Этот прием способствует раскрепощению застенчивых, неуверенных в себе детей. Благодаря игровым приемам в процессе работы дети настолько увлекались, что им уже не требовалось никакого стимулирования. Они все настойчивее осваивали </w:t>
      </w:r>
      <w:r>
        <w:rPr>
          <w:rFonts w:ascii="Times New Roman" w:hAnsi="Times New Roman" w:cs="Times New Roman"/>
          <w:sz w:val="28"/>
          <w:szCs w:val="28"/>
        </w:rPr>
        <w:t xml:space="preserve">игры и не хотели получать помощи, до всего желали додуматься сами.  </w:t>
      </w:r>
      <w:r>
        <w:rPr>
          <w:rFonts w:ascii="Times New Roman" w:hAnsi="Times New Roman" w:cs="Times New Roman"/>
          <w:sz w:val="28"/>
          <w:szCs w:val="28"/>
        </w:rPr>
      </w:r>
    </w:p>
    <w:p>
      <w:pPr>
        <w:jc w:val="both"/>
        <w:rPr>
          <w:rFonts w:ascii="Times New Roman" w:hAnsi="Times New Roman" w:cs="Times New Roman"/>
          <w:sz w:val="28"/>
          <w:szCs w:val="28"/>
        </w:rPr>
      </w:pPr>
      <w:r>
        <w:rPr>
          <w:rFonts w:ascii="Times New Roman" w:hAnsi="Times New Roman" w:cs="Times New Roman"/>
          <w:sz w:val="28"/>
          <w:szCs w:val="28"/>
        </w:rPr>
        <w:t xml:space="preserve">Новизна данной работы состоит в актуализации основ логикомыслительной деятельности в форме коррекционных занятий для детей старшего дошкольного возраста с психофизиологическим ограничением</w:t>
      </w:r>
      <w:r>
        <w:rPr>
          <w:rFonts w:ascii="Times New Roman" w:hAnsi="Times New Roman" w:cs="Times New Roman"/>
          <w:sz w:val="28"/>
          <w:szCs w:val="28"/>
        </w:rPr>
        <w:t xml:space="preserve"> в восприятии и мыслительной работе. Учитывая, что данный вид мыслительной деятельности еще не является актуальным для детей данного возраста, но в плане компенсации имеющегося дефекта происходит их коррекция, что очень важно для данной категории детей, по</w:t>
      </w:r>
      <w:r>
        <w:rPr>
          <w:rFonts w:ascii="Times New Roman" w:hAnsi="Times New Roman" w:cs="Times New Roman"/>
          <w:sz w:val="28"/>
          <w:szCs w:val="28"/>
        </w:rPr>
        <w:t xml:space="preserve">тому что содействует их адаптации к условиям будущего школьного обучения.  Как показала апробация программы в течение ряда лет, результативность данной работы высока. Она позволяет сформировать планируемые коррекционной работой мыслительные операции обобще</w:t>
      </w:r>
      <w:r>
        <w:rPr>
          <w:rFonts w:ascii="Times New Roman" w:hAnsi="Times New Roman" w:cs="Times New Roman"/>
          <w:sz w:val="28"/>
          <w:szCs w:val="28"/>
        </w:rPr>
        <w:t xml:space="preserve">ния, сравнения, абстрагирования, и классификации, развить гибкость мыслительных процессов, сформировать умение устанавливать причинно-следственные связи, повысить уровень речевого развития, умение связно высказываться, обосновывать свои суждения, делать ум</w:t>
      </w:r>
      <w:r>
        <w:rPr>
          <w:rFonts w:ascii="Times New Roman" w:hAnsi="Times New Roman" w:cs="Times New Roman"/>
          <w:sz w:val="28"/>
          <w:szCs w:val="28"/>
        </w:rPr>
        <w:t xml:space="preserve">озаключения. Знания, полученные в результате систематических занятий, в занимательной форме, с использованием яркой, красочной наглядности усваиваются детьми достаточно прочно и позволяют в дальнейшем успешно использовать их в повседневной жизни, перенося </w:t>
      </w:r>
      <w:r>
        <w:rPr>
          <w:rFonts w:ascii="Times New Roman" w:hAnsi="Times New Roman" w:cs="Times New Roman"/>
          <w:sz w:val="28"/>
          <w:szCs w:val="28"/>
        </w:rPr>
        <w:t xml:space="preserve">из игровых ситуаций в жизнь. </w:t>
      </w:r>
      <w:r/>
      <w:r/>
    </w:p>
    <w:sectPr>
      <w:footnotePr>
        <w:numFmt w:val="decimal"/>
        <w:numRestart w:val="continuous"/>
      </w:footnotePr>
      <w:endnotePr>
        <w:numFmt w:val="lowerRoman"/>
      </w:endnotePr>
      <w:type w:val="nextPage"/>
      <w:pgSz w:w="11906" w:h="16838" w:orient="portrait"/>
      <w:pgMar w:top="1134" w:right="1134" w:bottom="1134" w:left="1134" w:header="709" w:footer="709"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Open Sans">
    <w:panose1 w:val="020B0606030504020204"/>
  </w:font>
  <w:font w:name="WenQuanYi Micro Hei">
    <w:panose1 w:val="020B0606030804020204"/>
  </w:font>
  <w:font w:name="Lohit Devanagari">
    <w:panose1 w:val="020B0600000000000000"/>
  </w:font>
  <w:font w:name="Tempora LGC Uni">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599"/>
    <w:next w:val="599"/>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599"/>
    <w:next w:val="599"/>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599"/>
    <w:next w:val="599"/>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599"/>
    <w:next w:val="599"/>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599"/>
    <w:next w:val="599"/>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599"/>
    <w:next w:val="599"/>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599"/>
    <w:next w:val="599"/>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599"/>
    <w:next w:val="599"/>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599"/>
    <w:next w:val="599"/>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599"/>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599"/>
    <w:next w:val="599"/>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599"/>
    <w:next w:val="599"/>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599"/>
    <w:next w:val="599"/>
    <w:link w:val="39"/>
    <w:uiPriority w:val="29"/>
    <w:qFormat/>
    <w:pPr>
      <w:ind w:left="720" w:right="720"/>
    </w:pPr>
    <w:rPr>
      <w:i/>
    </w:rPr>
  </w:style>
  <w:style w:type="character" w:styleId="39">
    <w:name w:val="Quote Char"/>
    <w:link w:val="38"/>
    <w:uiPriority w:val="29"/>
    <w:rPr>
      <w:i/>
    </w:rPr>
  </w:style>
  <w:style w:type="paragraph" w:styleId="40">
    <w:name w:val="Intense Quote"/>
    <w:basedOn w:val="599"/>
    <w:next w:val="599"/>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599"/>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599"/>
    <w:link w:val="47"/>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599"/>
    <w:next w:val="599"/>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598"/>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59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59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59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59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59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59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59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59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59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59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59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59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59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59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59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59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59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59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59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59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59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59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59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59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59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59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59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59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59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59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59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59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59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59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59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59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59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59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59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59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59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59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59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59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59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59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59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59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59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59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59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59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59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59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59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59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598"/>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598"/>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598"/>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598"/>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598"/>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598"/>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59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59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59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59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59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59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59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59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59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59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59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59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59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59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59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59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59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59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59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59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59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59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59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59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59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59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59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59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59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59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59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59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59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59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59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59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59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59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59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59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59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59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59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59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59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59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59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59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59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59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59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59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59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59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59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59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59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59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59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59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59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59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59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599"/>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599"/>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599"/>
    <w:next w:val="599"/>
    <w:uiPriority w:val="39"/>
    <w:unhideWhenUsed/>
    <w:pPr>
      <w:ind w:left="0" w:right="0" w:firstLine="0"/>
      <w:spacing w:after="57"/>
    </w:pPr>
  </w:style>
  <w:style w:type="paragraph" w:styleId="182">
    <w:name w:val="toc 2"/>
    <w:basedOn w:val="599"/>
    <w:next w:val="599"/>
    <w:uiPriority w:val="39"/>
    <w:unhideWhenUsed/>
    <w:pPr>
      <w:ind w:left="283" w:right="0" w:firstLine="0"/>
      <w:spacing w:after="57"/>
    </w:pPr>
  </w:style>
  <w:style w:type="paragraph" w:styleId="183">
    <w:name w:val="toc 3"/>
    <w:basedOn w:val="599"/>
    <w:next w:val="599"/>
    <w:uiPriority w:val="39"/>
    <w:unhideWhenUsed/>
    <w:pPr>
      <w:ind w:left="567" w:right="0" w:firstLine="0"/>
      <w:spacing w:after="57"/>
    </w:pPr>
  </w:style>
  <w:style w:type="paragraph" w:styleId="184">
    <w:name w:val="toc 4"/>
    <w:basedOn w:val="599"/>
    <w:next w:val="599"/>
    <w:uiPriority w:val="39"/>
    <w:unhideWhenUsed/>
    <w:pPr>
      <w:ind w:left="850" w:right="0" w:firstLine="0"/>
      <w:spacing w:after="57"/>
    </w:pPr>
  </w:style>
  <w:style w:type="paragraph" w:styleId="185">
    <w:name w:val="toc 5"/>
    <w:basedOn w:val="599"/>
    <w:next w:val="599"/>
    <w:uiPriority w:val="39"/>
    <w:unhideWhenUsed/>
    <w:pPr>
      <w:ind w:left="1134" w:right="0" w:firstLine="0"/>
      <w:spacing w:after="57"/>
    </w:pPr>
  </w:style>
  <w:style w:type="paragraph" w:styleId="186">
    <w:name w:val="toc 6"/>
    <w:basedOn w:val="599"/>
    <w:next w:val="599"/>
    <w:uiPriority w:val="39"/>
    <w:unhideWhenUsed/>
    <w:pPr>
      <w:ind w:left="1417" w:right="0" w:firstLine="0"/>
      <w:spacing w:after="57"/>
    </w:pPr>
  </w:style>
  <w:style w:type="paragraph" w:styleId="187">
    <w:name w:val="toc 7"/>
    <w:basedOn w:val="599"/>
    <w:next w:val="599"/>
    <w:uiPriority w:val="39"/>
    <w:unhideWhenUsed/>
    <w:pPr>
      <w:ind w:left="1701" w:right="0" w:firstLine="0"/>
      <w:spacing w:after="57"/>
    </w:pPr>
  </w:style>
  <w:style w:type="paragraph" w:styleId="188">
    <w:name w:val="toc 8"/>
    <w:basedOn w:val="599"/>
    <w:next w:val="599"/>
    <w:uiPriority w:val="39"/>
    <w:unhideWhenUsed/>
    <w:pPr>
      <w:ind w:left="1984" w:right="0" w:firstLine="0"/>
      <w:spacing w:after="57"/>
    </w:pPr>
  </w:style>
  <w:style w:type="paragraph" w:styleId="189">
    <w:name w:val="toc 9"/>
    <w:basedOn w:val="599"/>
    <w:next w:val="599"/>
    <w:uiPriority w:val="39"/>
    <w:unhideWhenUsed/>
    <w:pPr>
      <w:ind w:left="2268" w:right="0" w:firstLine="0"/>
      <w:spacing w:after="57"/>
    </w:pPr>
  </w:style>
  <w:style w:type="paragraph" w:styleId="190">
    <w:name w:val="TOC Heading"/>
    <w:uiPriority w:val="39"/>
    <w:unhideWhenUsed/>
  </w:style>
  <w:style w:type="paragraph" w:styleId="191">
    <w:name w:val="table of figures"/>
    <w:basedOn w:val="599"/>
    <w:next w:val="599"/>
    <w:uiPriority w:val="99"/>
    <w:unhideWhenUsed/>
    <w:pPr>
      <w:spacing w:after="0" w:afterAutospacing="0"/>
    </w:pPr>
  </w:style>
  <w:style w:type="table" w:styleId="598" w:default="1">
    <w:name w:val="Normal Table"/>
    <w:uiPriority w:val="99"/>
    <w:semiHidden/>
    <w:unhideWhenUsed/>
    <w:qFormat/>
    <w:tblPr>
      <w:tblInd w:w="0" w:type="dxa"/>
      <w:tblCellMar>
        <w:left w:w="108" w:type="dxa"/>
        <w:top w:w="0" w:type="dxa"/>
        <w:right w:w="108" w:type="dxa"/>
        <w:bottom w:w="0" w:type="dxa"/>
      </w:tblCellMar>
    </w:tblPr>
  </w:style>
  <w:style w:type="paragraph" w:styleId="599" w:default="1">
    <w:name w:val="Normal"/>
    <w:next w:val="599"/>
    <w:link w:val="599"/>
    <w:pPr>
      <w:widowControl/>
    </w:pPr>
    <w:rPr>
      <w:rFonts w:ascii="Tempora LGC Uni" w:hAnsi="Tempora LGC Uni" w:eastAsia="WenQuanYi Micro Hei" w:cs="Lohit Devanagari"/>
      <w:color w:val="auto"/>
      <w:sz w:val="24"/>
      <w:szCs w:val="24"/>
      <w:lang w:val="ru-RU" w:eastAsia="zh-CN" w:bidi="hi-IN"/>
    </w:rPr>
  </w:style>
  <w:style w:type="paragraph" w:styleId="600">
    <w:name w:val="Заголовок"/>
    <w:basedOn w:val="599"/>
    <w:next w:val="601"/>
    <w:link w:val="599"/>
    <w:pPr>
      <w:keepNext/>
      <w:spacing w:before="240" w:after="120"/>
    </w:pPr>
    <w:rPr>
      <w:rFonts w:ascii="Open Sans" w:hAnsi="Open Sans" w:eastAsia="WenQuanYi Micro Hei" w:cs="Lohit Devanagari"/>
      <w:sz w:val="28"/>
      <w:szCs w:val="28"/>
    </w:rPr>
  </w:style>
  <w:style w:type="paragraph" w:styleId="601">
    <w:name w:val="Основной текст"/>
    <w:basedOn w:val="599"/>
    <w:next w:val="601"/>
    <w:link w:val="599"/>
    <w:pPr>
      <w:spacing w:before="0" w:after="140" w:line="276" w:lineRule="auto"/>
    </w:pPr>
  </w:style>
  <w:style w:type="paragraph" w:styleId="602">
    <w:name w:val="Список"/>
    <w:basedOn w:val="601"/>
    <w:next w:val="602"/>
    <w:link w:val="599"/>
    <w:rPr>
      <w:rFonts w:cs="Lohit Devanagari"/>
    </w:rPr>
  </w:style>
  <w:style w:type="paragraph" w:styleId="603">
    <w:name w:val="Название"/>
    <w:basedOn w:val="599"/>
    <w:next w:val="603"/>
    <w:link w:val="599"/>
    <w:pPr>
      <w:spacing w:before="120" w:after="120"/>
      <w:suppressLineNumbers/>
    </w:pPr>
    <w:rPr>
      <w:rFonts w:cs="Lohit Devanagari"/>
      <w:i/>
      <w:iCs/>
      <w:sz w:val="24"/>
      <w:szCs w:val="24"/>
    </w:rPr>
  </w:style>
  <w:style w:type="paragraph" w:styleId="604">
    <w:name w:val="Указатель"/>
    <w:basedOn w:val="599"/>
    <w:next w:val="604"/>
    <w:link w:val="599"/>
    <w:pPr>
      <w:suppressLineNumbers/>
    </w:pPr>
    <w:rPr>
      <w:rFonts w:cs="Lohit Devanagari"/>
      <w:lang w:val="en-US" w:eastAsia="en-US" w:bidi="en-US"/>
    </w:rPr>
  </w:style>
  <w:style w:type="character" w:styleId="605" w:default="1">
    <w:name w:val="Default Paragraph Font"/>
    <w:uiPriority w:val="1"/>
    <w:semiHidden/>
    <w:unhideWhenUsed/>
  </w:style>
  <w:style w:type="numbering" w:styleId="6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Р7-Офис/7.3.0.0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2022-12-16T17:27:00Z</dcterms:created>
  <dcterms:modified xsi:type="dcterms:W3CDTF">2025-04-25T05:04:06Z</dcterms:modified>
</cp:coreProperties>
</file>