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Материалы на конкурс «Отдавая сердце - 2026 »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center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</w:t>
      </w:r>
      <w:r>
        <w:rPr>
          <w:rFonts w:ascii="Times New Roman" w:hAnsi="Times New Roman" w:cs="Times New Roman"/>
          <w:b/>
          <w:sz w:val="28"/>
          <w:szCs w:val="28"/>
        </w:rPr>
        <w:t xml:space="preserve">Использование «Тематических карт</w:t>
      </w:r>
      <w:r>
        <w:rPr>
          <w:rFonts w:ascii="Times New Roman" w:hAnsi="Times New Roman" w:cs="Times New Roman"/>
          <w:b/>
          <w:sz w:val="28"/>
          <w:szCs w:val="28"/>
        </w:rPr>
        <w:t xml:space="preserve">», как эффективное средство развития познавательной активности детей старшего дошкольного возраста с ЗПР»</w:t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Изучив характерологические особенности детей с ЗПР,  я пришла к выводу, что дети с ЗПР – это дети с нереализованными                возможностями, так как все основные психические новообра</w:t>
      </w:r>
      <w:r>
        <w:rPr>
          <w:rFonts w:ascii="Times New Roman" w:hAnsi="Times New Roman" w:cs="Times New Roman"/>
          <w:sz w:val="28"/>
          <w:szCs w:val="28"/>
        </w:rPr>
        <w:t xml:space="preserve">зования возраста формируются у них с запаздыванием и имеют качественное своеобразие. Для детей данной категории характерна рассеянность внимания, они не способны удерживать внимание  достаточно длительное время и переключать его при смене деятельности. Им </w:t>
      </w:r>
      <w:r>
        <w:rPr>
          <w:rFonts w:ascii="Times New Roman" w:hAnsi="Times New Roman" w:cs="Times New Roman"/>
          <w:sz w:val="28"/>
          <w:szCs w:val="28"/>
        </w:rPr>
        <w:t xml:space="preserve">свойственна повышенная отвлекаемость, посторонние раздражители  вызывают значительное замедление выполняемой ими деятельности и увеличивают число ошибок. Затруднена ориентировочно-исследовательская  деятельность, направленная на исследование свойств и каче</w:t>
      </w:r>
      <w:r>
        <w:rPr>
          <w:rFonts w:ascii="Times New Roman" w:hAnsi="Times New Roman" w:cs="Times New Roman"/>
          <w:sz w:val="28"/>
          <w:szCs w:val="28"/>
        </w:rPr>
        <w:t xml:space="preserve">ств  пр</w:t>
      </w:r>
      <w:r>
        <w:rPr>
          <w:rFonts w:ascii="Times New Roman" w:hAnsi="Times New Roman" w:cs="Times New Roman"/>
          <w:sz w:val="28"/>
          <w:szCs w:val="28"/>
        </w:rPr>
        <w:t xml:space="preserve">едметов. В структуре дефекта познавательной  деятельности детей с ЗПР особое место занимают нарушения памяти – ограниченны</w:t>
      </w:r>
      <w:r>
        <w:rPr>
          <w:rFonts w:ascii="Times New Roman" w:hAnsi="Times New Roman" w:cs="Times New Roman"/>
          <w:sz w:val="28"/>
          <w:szCs w:val="28"/>
        </w:rPr>
        <w:t xml:space="preserve">й объём памяти                    и снижение её прочности. Традиционные занятия детям данной категории не интересны и малоэффективны. Поэтому возникла необходимость поиска различных путей и методов, способствующих более качественному  усвоению необходимых </w:t>
      </w:r>
      <w:r>
        <w:rPr>
          <w:rFonts w:ascii="Times New Roman" w:hAnsi="Times New Roman" w:cs="Times New Roman"/>
          <w:sz w:val="28"/>
          <w:szCs w:val="28"/>
        </w:rPr>
        <w:t xml:space="preserve">знаний, обозначенных программой обучения.  Одним из таких  вариантов  является исп</w:t>
      </w:r>
      <w:r>
        <w:rPr>
          <w:rFonts w:ascii="Times New Roman" w:hAnsi="Times New Roman" w:cs="Times New Roman"/>
          <w:sz w:val="28"/>
          <w:szCs w:val="28"/>
        </w:rPr>
        <w:t xml:space="preserve">ользование « тематической карты», на которой</w:t>
      </w:r>
      <w:r>
        <w:rPr>
          <w:rFonts w:ascii="Times New Roman" w:hAnsi="Times New Roman" w:cs="Times New Roman"/>
          <w:sz w:val="28"/>
          <w:szCs w:val="28"/>
        </w:rPr>
        <w:t xml:space="preserve"> ребёнок может увидеть сразу все задания, которые необходимо выполнит</w:t>
      </w:r>
      <w:r>
        <w:rPr>
          <w:rFonts w:ascii="Times New Roman" w:hAnsi="Times New Roman" w:cs="Times New Roman"/>
          <w:sz w:val="28"/>
          <w:szCs w:val="28"/>
        </w:rPr>
        <w:t xml:space="preserve">ь. Использование  тематической карты </w:t>
      </w:r>
      <w:r>
        <w:rPr>
          <w:rFonts w:ascii="Times New Roman" w:hAnsi="Times New Roman" w:cs="Times New Roman"/>
          <w:sz w:val="28"/>
          <w:szCs w:val="28"/>
        </w:rPr>
        <w:t xml:space="preserve">в образовательном процессе с детьми с ЗПР позволяет интегрировать несколько образовательных областей: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социально-коммуникативную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-познавательную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-речевую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-художественно-эстетическую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Практической значимостью </w:t>
      </w:r>
      <w:r>
        <w:rPr>
          <w:rFonts w:ascii="Times New Roman" w:hAnsi="Times New Roman" w:cs="Times New Roman"/>
          <w:sz w:val="28"/>
          <w:szCs w:val="28"/>
        </w:rPr>
        <w:t xml:space="preserve">ис</w:t>
      </w:r>
      <w:r>
        <w:rPr>
          <w:rFonts w:ascii="Times New Roman" w:hAnsi="Times New Roman" w:cs="Times New Roman"/>
          <w:sz w:val="28"/>
          <w:szCs w:val="28"/>
        </w:rPr>
        <w:t xml:space="preserve">пользования «тематической карты</w:t>
      </w:r>
      <w:r>
        <w:rPr>
          <w:rFonts w:ascii="Times New Roman" w:hAnsi="Times New Roman" w:cs="Times New Roman"/>
          <w:sz w:val="28"/>
          <w:szCs w:val="28"/>
        </w:rPr>
        <w:t xml:space="preserve">» является то, что у всех педагогов, работающих на группе, есть возможность использовать его на своих занятиях, в индивидуальной работе с ребёнком, в совместной деятельности с детьми, часть заданий можно предложить выполнить дома. Использование </w:t>
      </w:r>
      <w:r>
        <w:rPr>
          <w:rFonts w:ascii="Times New Roman" w:hAnsi="Times New Roman" w:cs="Times New Roman"/>
          <w:sz w:val="28"/>
          <w:szCs w:val="28"/>
        </w:rPr>
        <w:t xml:space="preserve">«тематической карты»,</w:t>
      </w:r>
      <w:r>
        <w:rPr>
          <w:rFonts w:ascii="Times New Roman" w:hAnsi="Times New Roman" w:cs="Times New Roman"/>
          <w:sz w:val="28"/>
          <w:szCs w:val="28"/>
        </w:rPr>
        <w:t xml:space="preserve">  как вспомогательного приёма при обучении детей с ЗПР является  эффективным, т.к. процесс познания при использовании  наглядных средств,  происходит  непроизвольно, потому что какой-то предмет или явление попало в поле зр</w:t>
      </w:r>
      <w:r>
        <w:rPr>
          <w:rFonts w:ascii="Times New Roman" w:hAnsi="Times New Roman" w:cs="Times New Roman"/>
          <w:sz w:val="28"/>
          <w:szCs w:val="28"/>
        </w:rPr>
        <w:t xml:space="preserve">ения ребёнка. «Тематическая карта</w:t>
      </w:r>
      <w:r>
        <w:rPr>
          <w:rFonts w:ascii="Times New Roman" w:hAnsi="Times New Roman" w:cs="Times New Roman"/>
          <w:sz w:val="28"/>
          <w:szCs w:val="28"/>
        </w:rPr>
        <w:t xml:space="preserve">» помогает максимально приблизить обучение к окружающей действительности, к взаимодействию с окружением в творческих видах деятельности  и повышению мотивации детей к различным видам деятельности. В прак</w:t>
      </w:r>
      <w:r>
        <w:rPr>
          <w:rFonts w:ascii="Times New Roman" w:hAnsi="Times New Roman" w:cs="Times New Roman"/>
          <w:sz w:val="28"/>
          <w:szCs w:val="28"/>
        </w:rPr>
        <w:t xml:space="preserve">тическую деятельность я включила задания по изобразительной деятельности, развитию речи, познавательному развитию, развитию графических способностей и др., через самостоятельную и совместную  деятельность приблизили обучение к окружающей действительности.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Способствовать включению детей в социум, раскрыть их творческий потенциал, развивать способности к волевым усилиям, личностной установке, повысить уровень общего развития воспитанников.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Кажды</w:t>
      </w:r>
      <w:r>
        <w:rPr>
          <w:rFonts w:ascii="Times New Roman" w:hAnsi="Times New Roman" w:cs="Times New Roman"/>
          <w:sz w:val="28"/>
          <w:szCs w:val="28"/>
        </w:rPr>
        <w:t xml:space="preserve">й ребёнок получает тематическую карту</w:t>
      </w:r>
      <w:r>
        <w:rPr>
          <w:rFonts w:ascii="Times New Roman" w:hAnsi="Times New Roman" w:cs="Times New Roman"/>
          <w:sz w:val="28"/>
          <w:szCs w:val="28"/>
        </w:rPr>
        <w:t xml:space="preserve"> в понедельник, с началом лексической темы, и имеет возможность использовать его как  </w:t>
      </w:r>
      <w:r>
        <w:rPr>
          <w:rFonts w:ascii="Times New Roman" w:hAnsi="Times New Roman" w:cs="Times New Roman"/>
          <w:sz w:val="28"/>
          <w:szCs w:val="28"/>
        </w:rPr>
        <w:t xml:space="preserve">наглядное пособие и вспомогательное средство в течени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 всей недели  на занятиях в совместной  деятельности с педагогами, во время индивидуальной работы, часть заданий ребёнок может выполнить самостоятельно, часть как  домашнее задание для закрепления про</w:t>
      </w:r>
      <w:r>
        <w:rPr>
          <w:rFonts w:ascii="Times New Roman" w:hAnsi="Times New Roman" w:cs="Times New Roman"/>
          <w:sz w:val="28"/>
          <w:szCs w:val="28"/>
        </w:rPr>
        <w:t xml:space="preserve">йденной темы. Все тематические карты</w:t>
      </w:r>
      <w:r>
        <w:rPr>
          <w:rFonts w:ascii="Times New Roman" w:hAnsi="Times New Roman" w:cs="Times New Roman"/>
          <w:sz w:val="28"/>
          <w:szCs w:val="28"/>
        </w:rPr>
        <w:t xml:space="preserve"> хранятся в индивидуальной папке ребёнка и в течени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всего учебного года ребёнок может вернуться к нему и вспомнить то, о чём он узнал  по  конкретной  теме в начале или в середине года.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Тематическая карта</w:t>
      </w:r>
      <w:r>
        <w:rPr>
          <w:rFonts w:ascii="Times New Roman" w:hAnsi="Times New Roman" w:cs="Times New Roman"/>
          <w:b/>
          <w:sz w:val="28"/>
          <w:szCs w:val="28"/>
        </w:rPr>
        <w:t xml:space="preserve"> «Что растёт в саду»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Использование тематического листа на  занятиях по познавательному развитию: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Назовите  фрукты, изображённые на цветной картинке.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фрукты растут на деревьях? (яблоки, груши)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 называется сад, где растут фрукты? (фруктовый сад)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фрукты  вы видите на столе? В вазе?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Что из фруктов можно сварить? (варенье, компот)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Какие фрукты, которые не нарисовал художник</w:t>
      </w:r>
      <w:r>
        <w:rPr>
          <w:rFonts w:ascii="Times New Roman" w:hAnsi="Times New Roman" w:cs="Times New Roman"/>
          <w:sz w:val="28"/>
          <w:szCs w:val="28"/>
        </w:rPr>
        <w:t xml:space="preserve"> ,</w:t>
      </w:r>
      <w:r>
        <w:rPr>
          <w:rFonts w:ascii="Times New Roman" w:hAnsi="Times New Roman" w:cs="Times New Roman"/>
          <w:sz w:val="28"/>
          <w:szCs w:val="28"/>
        </w:rPr>
        <w:t xml:space="preserve"> ты знаешь ещё?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ФЭМП: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Сколько яблок на яблоне?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Какой они формы?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Какого цвета яблоки?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Сколько груш на дереве?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Сколько яблок (груш) на столе?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каком дереве фруктов больше? (меньше?)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Сколько ананасов  на столе?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Чего больше (меньше) ананасов или апельсинов?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Речевое развитие: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Найди и назови фрукты, названия которых начинается на букву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 названии какого фрукта буква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А</w:t>
      </w:r>
      <w:r>
        <w:rPr>
          <w:rFonts w:ascii="Times New Roman" w:hAnsi="Times New Roman" w:cs="Times New Roman"/>
          <w:sz w:val="28"/>
          <w:szCs w:val="28"/>
        </w:rPr>
        <w:t xml:space="preserve"> стоит в  середине  слова (в конце слова)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Назови цвет, форму (на согласование существительных с прилагательным)</w:t>
      </w:r>
      <w:r>
        <w:rPr>
          <w:rFonts w:ascii="Times New Roman" w:hAnsi="Times New Roman" w:cs="Times New Roman"/>
          <w:sz w:val="28"/>
          <w:szCs w:val="28"/>
        </w:rPr>
        <w:t xml:space="preserve"> :</w:t>
      </w:r>
      <w:r>
        <w:rPr>
          <w:rFonts w:ascii="Times New Roman" w:hAnsi="Times New Roman" w:cs="Times New Roman"/>
          <w:sz w:val="28"/>
          <w:szCs w:val="28"/>
        </w:rPr>
        <w:t xml:space="preserve"> лимон какой? … (жёлтый, кислый)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 Посчитай» (на согласование числительных с существительными): 1 груша, 2 груши, 3 груши,4 груши,5 груш.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 </w:t>
      </w:r>
      <w:r>
        <w:rPr>
          <w:rFonts w:ascii="Times New Roman" w:hAnsi="Times New Roman" w:cs="Times New Roman"/>
          <w:sz w:val="28"/>
          <w:szCs w:val="28"/>
        </w:rPr>
        <w:t xml:space="preserve">Один-много</w:t>
      </w:r>
      <w:r>
        <w:rPr>
          <w:rFonts w:ascii="Times New Roman" w:hAnsi="Times New Roman" w:cs="Times New Roman"/>
          <w:sz w:val="28"/>
          <w:szCs w:val="28"/>
        </w:rPr>
        <w:t xml:space="preserve">» (на употребление существительных в родительном падеже множественного числа): одно яблоко – много яблок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« Назови варенье»: варенье из яблок называется … яблочным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Раздели на слоги: (</w:t>
      </w:r>
      <w:r>
        <w:rPr>
          <w:rFonts w:ascii="Times New Roman" w:hAnsi="Times New Roman" w:cs="Times New Roman"/>
          <w:sz w:val="28"/>
          <w:szCs w:val="28"/>
        </w:rPr>
        <w:t xml:space="preserve">яб-ло-ко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гру-ша</w:t>
      </w:r>
      <w:r>
        <w:rPr>
          <w:rFonts w:ascii="Times New Roman" w:hAnsi="Times New Roman" w:cs="Times New Roman"/>
          <w:sz w:val="28"/>
          <w:szCs w:val="28"/>
        </w:rPr>
        <w:t xml:space="preserve">) и т.п.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Составь предложение со словом </w:t>
      </w:r>
      <w:r>
        <w:rPr>
          <w:rFonts w:ascii="Times New Roman" w:hAnsi="Times New Roman" w:cs="Times New Roman"/>
          <w:i/>
          <w:sz w:val="28"/>
          <w:szCs w:val="28"/>
        </w:rPr>
        <w:t xml:space="preserve">апельсин </w:t>
      </w:r>
      <w:r>
        <w:rPr>
          <w:rFonts w:ascii="Times New Roman" w:hAnsi="Times New Roman" w:cs="Times New Roman"/>
          <w:i/>
          <w:sz w:val="28"/>
          <w:szCs w:val="28"/>
        </w:rPr>
        <w:t xml:space="preserve">( </w:t>
      </w:r>
      <w:r>
        <w:rPr>
          <w:rFonts w:ascii="Times New Roman" w:hAnsi="Times New Roman" w:cs="Times New Roman"/>
          <w:i/>
          <w:sz w:val="28"/>
          <w:szCs w:val="28"/>
        </w:rPr>
        <w:t xml:space="preserve">груша)</w:t>
      </w:r>
      <w:r>
        <w:rPr>
          <w:rFonts w:ascii="Times New Roman" w:hAnsi="Times New Roman" w:cs="Times New Roman"/>
          <w:sz w:val="28"/>
          <w:szCs w:val="28"/>
        </w:rPr>
        <w:t xml:space="preserve"> и т. п.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Расскажи о своём любимом фрукте по плану: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 люблю _____________. Он (она) ___________ цвета, __________ формы, ___________ на вкус. Из него (неё) можно приготовить _______.  А я </w:t>
      </w:r>
      <w:r>
        <w:rPr>
          <w:rFonts w:ascii="Times New Roman" w:hAnsi="Times New Roman" w:cs="Times New Roman"/>
          <w:sz w:val="28"/>
          <w:szCs w:val="28"/>
        </w:rPr>
        <w:t xml:space="preserve">люблю</w:t>
      </w:r>
      <w:r>
        <w:rPr>
          <w:rFonts w:ascii="Times New Roman" w:hAnsi="Times New Roman" w:cs="Times New Roman"/>
          <w:sz w:val="28"/>
          <w:szCs w:val="28"/>
        </w:rPr>
        <w:t xml:space="preserve"> есть его (её) __________. (сырым,   в компоте,  в варенье).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Изобразительная деятельность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Изображение целого объекта «Нарисуй свой любимый фрукт», «Нарисуй отгадку»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Завершение изображения «Закончи картинку»,  «Раскрась картинку»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Составление из частей целого изображения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-113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360" w:lineRule="auto"/>
      </w:pPr>
      <w:r/>
      <w:r/>
      <w:r/>
    </w:p>
    <w:p>
      <w:pPr>
        <w:ind w:firstLine="709"/>
        <w:jc w:val="both"/>
        <w:spacing w:after="0" w:line="360" w:lineRule="auto"/>
      </w:pPr>
      <w:r/>
      <w:r/>
      <w:r/>
    </w:p>
    <w:p>
      <w:pPr>
        <w:ind w:firstLine="709"/>
        <w:jc w:val="both"/>
        <w:spacing w:after="0" w:line="360" w:lineRule="auto"/>
      </w:pPr>
      <w:r/>
      <w:r/>
      <w:r/>
    </w:p>
    <w:p>
      <w:pPr>
        <w:ind w:firstLine="709"/>
        <w:jc w:val="both"/>
        <w:spacing w:after="0" w:line="360" w:lineRule="auto"/>
      </w:pPr>
      <w:r/>
      <w:r/>
      <w:r/>
    </w:p>
    <w:p>
      <w:pPr>
        <w:ind w:firstLine="709"/>
        <w:jc w:val="both"/>
        <w:spacing w:after="0" w:line="360" w:lineRule="auto"/>
      </w:pPr>
      <w:r/>
      <w:r/>
      <w:r/>
    </w:p>
    <w:p>
      <w:pPr>
        <w:ind w:firstLine="709"/>
        <w:jc w:val="both"/>
        <w:spacing w:after="0" w:line="360" w:lineRule="auto"/>
      </w:pPr>
      <w:r/>
      <w:r/>
      <w:r/>
    </w:p>
    <w:p>
      <w:pPr>
        <w:ind w:firstLine="709"/>
        <w:jc w:val="both"/>
        <w:spacing w:after="0" w:line="360" w:lineRule="auto"/>
      </w:pPr>
      <w:r/>
      <w:r/>
      <w:r/>
    </w:p>
    <w:p>
      <w:pPr>
        <w:ind w:firstLine="709"/>
        <w:jc w:val="both"/>
        <w:spacing w:after="0" w:line="360" w:lineRule="auto"/>
      </w:pPr>
      <w:r/>
      <w:r/>
      <w:r/>
    </w:p>
    <w:p>
      <w:pPr>
        <w:ind w:firstLine="709"/>
        <w:jc w:val="both"/>
        <w:spacing w:after="0" w:line="360" w:lineRule="auto"/>
      </w:pPr>
      <w:r/>
      <w:r/>
      <w:r/>
    </w:p>
    <w:p>
      <w:pPr>
        <w:ind w:firstLine="709"/>
        <w:jc w:val="both"/>
        <w:spacing w:after="0" w:line="360" w:lineRule="auto"/>
      </w:pPr>
      <w:r/>
      <w:r/>
      <w:r/>
    </w:p>
    <w:p>
      <w:pPr>
        <w:ind w:firstLine="709"/>
        <w:jc w:val="both"/>
        <w:spacing w:after="0" w:line="360" w:lineRule="auto"/>
      </w:pPr>
      <w:r/>
      <w:r/>
      <w:r/>
    </w:p>
    <w:p>
      <w:pPr>
        <w:ind w:firstLine="709"/>
        <w:jc w:val="both"/>
        <w:spacing w:after="0" w:line="360" w:lineRule="auto"/>
      </w:pPr>
      <w:r/>
      <w:r/>
      <w:r/>
    </w:p>
    <w:p>
      <w:pPr>
        <w:ind w:firstLine="709"/>
        <w:jc w:val="both"/>
        <w:spacing w:after="0" w:line="360" w:lineRule="auto"/>
        <w:sectPr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</w:sectPr>
      </w:pPr>
      <w:r/>
      <w:r/>
      <w:r/>
    </w:p>
    <w:p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9251950" cy="5906090"/>
                <wp:effectExtent l="19050" t="0" r="6350" b="0"/>
                <wp:docPr id="1" name="Рисунок 2" descr="C:\Users\User\Desktop\материалы к пчёлке\CCI14122022_0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316352" name="Picture 2" descr="C:\Users\User\Desktop\материалы к пчёлке\CCI14122022_0001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9251949" cy="590608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728.50pt;height:465.05pt;mso-wrap-distance-left:0.00pt;mso-wrap-distance-top:0.00pt;mso-wrap-distance-right:0.00pt;mso-wrap-distance-bottom:0.00pt;" stroked="f" strokeweight="0.75pt">
                <v:path textboxrect="0,0,0,0"/>
                <v:imagedata r:id="rId8" o:title=""/>
              </v:shape>
            </w:pict>
          </mc:Fallback>
        </mc:AlternateContent>
      </w:r>
      <w:r/>
      <w:r/>
      <w:r/>
      <w:r/>
    </w:p>
    <w:sectPr>
      <w:footnotePr/>
      <w:endnotePr/>
      <w:type w:val="nextPage"/>
      <w:pgSz w:w="16838" w:h="11906" w:orient="landscape"/>
      <w:pgMar w:top="1701" w:right="1134" w:bottom="850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2026-04-08T09:33:26Z</dcterms:modified>
</cp:coreProperties>
</file>