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AB" w:rsidRDefault="00F53CAB" w:rsidP="00F53CAB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bookmarkStart w:id="0" w:name="_GoBack"/>
      <w:r w:rsidRPr="00F53CAB">
        <w:rPr>
          <w:b/>
          <w:color w:val="000000"/>
          <w:sz w:val="28"/>
          <w:szCs w:val="28"/>
        </w:rPr>
        <w:t>ФИО участника</w:t>
      </w:r>
      <w:r>
        <w:rPr>
          <w:b/>
          <w:color w:val="000000"/>
          <w:sz w:val="28"/>
          <w:szCs w:val="28"/>
        </w:rPr>
        <w:t xml:space="preserve">: </w:t>
      </w:r>
      <w:r w:rsidRPr="00F53CAB">
        <w:rPr>
          <w:color w:val="000000"/>
          <w:sz w:val="28"/>
          <w:szCs w:val="28"/>
        </w:rPr>
        <w:t>Клыкова Светлана Сергеевна.</w:t>
      </w:r>
    </w:p>
    <w:p w:rsidR="00F53CAB" w:rsidRDefault="00F53CAB" w:rsidP="00F53CAB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F53CA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М</w:t>
      </w:r>
      <w:r w:rsidRPr="00F53CAB">
        <w:rPr>
          <w:b/>
          <w:color w:val="000000"/>
          <w:sz w:val="28"/>
          <w:szCs w:val="28"/>
        </w:rPr>
        <w:t>есто работы</w:t>
      </w:r>
      <w:r>
        <w:rPr>
          <w:b/>
          <w:color w:val="000000"/>
          <w:sz w:val="28"/>
          <w:szCs w:val="28"/>
        </w:rPr>
        <w:t>:</w:t>
      </w:r>
      <w:r w:rsidRPr="00F53CAB">
        <w:rPr>
          <w:b/>
          <w:color w:val="000000"/>
          <w:sz w:val="28"/>
          <w:szCs w:val="28"/>
        </w:rPr>
        <w:t xml:space="preserve"> </w:t>
      </w:r>
      <w:r w:rsidRPr="00F53CAB">
        <w:rPr>
          <w:color w:val="000000"/>
          <w:sz w:val="28"/>
          <w:szCs w:val="28"/>
        </w:rPr>
        <w:t>Краевое государственное автономное учреждение дополнительного образования "Камчатский психолого-педагогический центр системы образования".</w:t>
      </w:r>
    </w:p>
    <w:p w:rsidR="00F53CAB" w:rsidRDefault="00F53CAB" w:rsidP="00F53CAB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</w:t>
      </w:r>
      <w:r w:rsidRPr="00F53CAB">
        <w:rPr>
          <w:b/>
          <w:color w:val="000000"/>
          <w:sz w:val="28"/>
          <w:szCs w:val="28"/>
        </w:rPr>
        <w:t>олжность</w:t>
      </w:r>
      <w:r>
        <w:rPr>
          <w:b/>
          <w:color w:val="000000"/>
          <w:sz w:val="28"/>
          <w:szCs w:val="28"/>
        </w:rPr>
        <w:t xml:space="preserve">: </w:t>
      </w:r>
      <w:r w:rsidRPr="00F53CAB">
        <w:rPr>
          <w:color w:val="000000"/>
          <w:sz w:val="28"/>
          <w:szCs w:val="28"/>
        </w:rPr>
        <w:t>учитель-логопед.</w:t>
      </w:r>
      <w:r w:rsidRPr="00F53CAB">
        <w:rPr>
          <w:b/>
          <w:color w:val="000000"/>
          <w:sz w:val="28"/>
          <w:szCs w:val="28"/>
        </w:rPr>
        <w:t xml:space="preserve"> </w:t>
      </w:r>
    </w:p>
    <w:bookmarkEnd w:id="0"/>
    <w:p w:rsidR="00A14BF8" w:rsidRPr="00A14BF8" w:rsidRDefault="00A14BF8" w:rsidP="00A14BF8">
      <w:pPr>
        <w:pStyle w:val="a3"/>
        <w:spacing w:after="187" w:line="360" w:lineRule="auto"/>
        <w:ind w:firstLine="708"/>
        <w:jc w:val="center"/>
        <w:rPr>
          <w:b/>
          <w:color w:val="000000"/>
          <w:sz w:val="28"/>
          <w:szCs w:val="28"/>
        </w:rPr>
      </w:pPr>
      <w:r w:rsidRPr="00A14BF8">
        <w:rPr>
          <w:b/>
          <w:color w:val="000000"/>
          <w:sz w:val="28"/>
          <w:szCs w:val="28"/>
        </w:rPr>
        <w:t>Диагностика неговорящего ребёнка: от симптома к пониманию механизмов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A14BF8">
        <w:rPr>
          <w:b/>
          <w:color w:val="000000"/>
          <w:sz w:val="28"/>
          <w:szCs w:val="28"/>
        </w:rPr>
        <w:t>Введение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Отсутствие речи у ребёнка (</w:t>
      </w:r>
      <w:proofErr w:type="spellStart"/>
      <w:r w:rsidRPr="00A14BF8">
        <w:rPr>
          <w:color w:val="000000"/>
          <w:sz w:val="28"/>
          <w:szCs w:val="28"/>
        </w:rPr>
        <w:t>безречие</w:t>
      </w:r>
      <w:proofErr w:type="spellEnd"/>
      <w:r w:rsidRPr="00A14BF8">
        <w:rPr>
          <w:color w:val="000000"/>
          <w:sz w:val="28"/>
          <w:szCs w:val="28"/>
        </w:rPr>
        <w:t xml:space="preserve">) </w:t>
      </w:r>
      <w:r w:rsidR="00A74D36" w:rsidRPr="00F53CAB">
        <w:rPr>
          <w:color w:val="000000"/>
          <w:sz w:val="28"/>
          <w:szCs w:val="28"/>
        </w:rPr>
        <w:t>-</w:t>
      </w:r>
      <w:r w:rsidRPr="00A14BF8">
        <w:rPr>
          <w:color w:val="000000"/>
          <w:sz w:val="28"/>
          <w:szCs w:val="28"/>
        </w:rPr>
        <w:t xml:space="preserve"> одна из самых сложных и тревожных проблем, с которой сталкиваются родители и специалисты. Диагностика такого состояния требует комплексного подхода: важно не только зафиксировать факт отсутствия речи, но и понять, почему она не появилась, на каком уровне «застряло» развитие и какие предпосылки для речи уже сформированы. В этой статье на основе современных представлений разбираются ключевые этапы ди</w:t>
      </w:r>
      <w:r>
        <w:rPr>
          <w:color w:val="000000"/>
          <w:sz w:val="28"/>
          <w:szCs w:val="28"/>
        </w:rPr>
        <w:t>агностики неговорящего ребёнка.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A14BF8">
        <w:rPr>
          <w:b/>
          <w:color w:val="000000"/>
          <w:sz w:val="28"/>
          <w:szCs w:val="28"/>
        </w:rPr>
        <w:t xml:space="preserve">1. Симптоматика </w:t>
      </w:r>
      <w:proofErr w:type="spellStart"/>
      <w:r w:rsidRPr="00A14BF8">
        <w:rPr>
          <w:b/>
          <w:color w:val="000000"/>
          <w:sz w:val="28"/>
          <w:szCs w:val="28"/>
        </w:rPr>
        <w:t>безречия</w:t>
      </w:r>
      <w:proofErr w:type="spellEnd"/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Симптоматика нарушений речи - это совокупность проявлений речевой недостаточности. Основной симптом у неговорящего ребёнка — отсутствие спонтанной экспрессивной ре</w:t>
      </w:r>
      <w:r>
        <w:rPr>
          <w:color w:val="000000"/>
          <w:sz w:val="28"/>
          <w:szCs w:val="28"/>
        </w:rPr>
        <w:t>чи. При этом могут наблюдаться: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трудности понимания обращённой речи;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избегание зрительного контакта;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низкая подражательная способность (звукам, жестам);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бедност</w:t>
      </w:r>
      <w:r>
        <w:rPr>
          <w:color w:val="000000"/>
          <w:sz w:val="28"/>
          <w:szCs w:val="28"/>
        </w:rPr>
        <w:t>ь невербальных средств общения.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lastRenderedPageBreak/>
        <w:t>Однако важно не только описать симптомы, но и выявить механизм нарушения - характер отклонений в функционировании тех операций, которые обеспечивают возникновение и развитие речи. Именно механизм определяет</w:t>
      </w:r>
      <w:r>
        <w:rPr>
          <w:color w:val="000000"/>
          <w:sz w:val="28"/>
          <w:szCs w:val="28"/>
        </w:rPr>
        <w:t>, что именно и почему нарушено.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A14BF8">
        <w:rPr>
          <w:b/>
          <w:color w:val="000000"/>
          <w:sz w:val="28"/>
          <w:szCs w:val="28"/>
        </w:rPr>
        <w:t xml:space="preserve">2. Возможные причины </w:t>
      </w:r>
      <w:proofErr w:type="spellStart"/>
      <w:r w:rsidRPr="00A14BF8">
        <w:rPr>
          <w:b/>
          <w:color w:val="000000"/>
          <w:sz w:val="28"/>
          <w:szCs w:val="28"/>
        </w:rPr>
        <w:t>безречия</w:t>
      </w:r>
      <w:proofErr w:type="spellEnd"/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Причины отсутствия </w:t>
      </w:r>
      <w:r>
        <w:rPr>
          <w:color w:val="000000"/>
          <w:sz w:val="28"/>
          <w:szCs w:val="28"/>
        </w:rPr>
        <w:t>речи могут быть самыми разными: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Генетические и наследственные заболевания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Внутриутробные патологии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Гипоксия плода во время беременности и родов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Родовые травмы и черепно-мозговые травмы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Неврологические заболевания (например, детский церебральный паралич)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· </w:t>
      </w:r>
      <w:proofErr w:type="spellStart"/>
      <w:r w:rsidRPr="00A14BF8">
        <w:rPr>
          <w:color w:val="000000"/>
          <w:sz w:val="28"/>
          <w:szCs w:val="28"/>
        </w:rPr>
        <w:t>Нейроинфекции</w:t>
      </w:r>
      <w:proofErr w:type="spellEnd"/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Интоксикации (в том числе пищевые)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· Психические нарушения (сильный стресс или травма могут вызвать временное или стойкое </w:t>
      </w:r>
      <w:proofErr w:type="spellStart"/>
      <w:r w:rsidRPr="00A14BF8">
        <w:rPr>
          <w:color w:val="000000"/>
          <w:sz w:val="28"/>
          <w:szCs w:val="28"/>
        </w:rPr>
        <w:t>безречие</w:t>
      </w:r>
      <w:proofErr w:type="spellEnd"/>
      <w:r w:rsidRPr="00A14BF8">
        <w:rPr>
          <w:color w:val="000000"/>
          <w:sz w:val="28"/>
          <w:szCs w:val="28"/>
        </w:rPr>
        <w:t>)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Социально-бытовые факторы (педагогическая запущенность, дефицит общения)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· Нарушение слуха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Часто </w:t>
      </w:r>
      <w:proofErr w:type="spellStart"/>
      <w:r w:rsidRPr="00A14BF8">
        <w:rPr>
          <w:color w:val="000000"/>
          <w:sz w:val="28"/>
          <w:szCs w:val="28"/>
        </w:rPr>
        <w:t>безречие</w:t>
      </w:r>
      <w:proofErr w:type="spellEnd"/>
      <w:r w:rsidRPr="00A14BF8">
        <w:rPr>
          <w:color w:val="000000"/>
          <w:sz w:val="28"/>
          <w:szCs w:val="28"/>
        </w:rPr>
        <w:t xml:space="preserve"> имеет комплексную природу, поэтому диагностика должна быть направле</w:t>
      </w:r>
      <w:r>
        <w:rPr>
          <w:color w:val="000000"/>
          <w:sz w:val="28"/>
          <w:szCs w:val="28"/>
        </w:rPr>
        <w:t>на на поиск первичного дефекта.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A14BF8">
        <w:rPr>
          <w:b/>
          <w:color w:val="000000"/>
          <w:sz w:val="28"/>
          <w:szCs w:val="28"/>
        </w:rPr>
        <w:t xml:space="preserve">3. Группы </w:t>
      </w:r>
      <w:proofErr w:type="spellStart"/>
      <w:r w:rsidRPr="00A14BF8">
        <w:rPr>
          <w:b/>
          <w:color w:val="000000"/>
          <w:sz w:val="28"/>
          <w:szCs w:val="28"/>
        </w:rPr>
        <w:t>безречевых</w:t>
      </w:r>
      <w:proofErr w:type="spellEnd"/>
      <w:r w:rsidRPr="00A14BF8">
        <w:rPr>
          <w:b/>
          <w:color w:val="000000"/>
          <w:sz w:val="28"/>
          <w:szCs w:val="28"/>
        </w:rPr>
        <w:t xml:space="preserve"> детей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lastRenderedPageBreak/>
        <w:t xml:space="preserve">В практике логопеда </w:t>
      </w:r>
      <w:proofErr w:type="spellStart"/>
      <w:r w:rsidRPr="00A14BF8">
        <w:rPr>
          <w:color w:val="000000"/>
          <w:sz w:val="28"/>
          <w:szCs w:val="28"/>
        </w:rPr>
        <w:t>безречие</w:t>
      </w:r>
      <w:proofErr w:type="spellEnd"/>
      <w:r w:rsidRPr="00A14BF8">
        <w:rPr>
          <w:color w:val="000000"/>
          <w:sz w:val="28"/>
          <w:szCs w:val="28"/>
        </w:rPr>
        <w:t xml:space="preserve"> может встречаться</w:t>
      </w:r>
      <w:r>
        <w:rPr>
          <w:color w:val="000000"/>
          <w:sz w:val="28"/>
          <w:szCs w:val="28"/>
        </w:rPr>
        <w:t xml:space="preserve"> у детей с разными нозологиями: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алалия (первичное недоразвитие речи);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временная задержка речевого развития (ЗРР);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расстройства аутистического спектра (РАС);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интеллектуальная недостаточность;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детский церебральный паралич (ДЦП);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нарушения слуха (глухота, тугоухость);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· </w:t>
      </w:r>
      <w:r>
        <w:rPr>
          <w:color w:val="000000"/>
          <w:sz w:val="28"/>
          <w:szCs w:val="28"/>
        </w:rPr>
        <w:t>комплексные нарушения развития.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Дифференциальная диагностика между этими группами — важнейшая задача, от которой зависит стратегия коррекц</w:t>
      </w:r>
      <w:r>
        <w:rPr>
          <w:color w:val="000000"/>
          <w:sz w:val="28"/>
          <w:szCs w:val="28"/>
        </w:rPr>
        <w:t>ии.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A14BF8">
        <w:rPr>
          <w:b/>
          <w:color w:val="000000"/>
          <w:sz w:val="28"/>
          <w:szCs w:val="28"/>
        </w:rPr>
        <w:t>4. Цель диагностики неговорящего ребёнка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цели обследования: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1. Оценить общий уровень развития ребёнка, не использующего речь.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2. Проверить состояние коммуникации, понимания речи, физиологических и речевых предпосылок.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3. Определить, сформирована ли база для появления речи (базовые функции: подражание, дыхание, артикуляционная п</w:t>
      </w:r>
      <w:r>
        <w:rPr>
          <w:color w:val="000000"/>
          <w:sz w:val="28"/>
          <w:szCs w:val="28"/>
        </w:rPr>
        <w:t>одвижность, слуховое внимание).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A14BF8">
        <w:rPr>
          <w:b/>
          <w:color w:val="000000"/>
          <w:sz w:val="28"/>
          <w:szCs w:val="28"/>
        </w:rPr>
        <w:t>5. Этапы диагностики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lastRenderedPageBreak/>
        <w:t xml:space="preserve">Диагностика строится поэтапно </w:t>
      </w:r>
      <w:r w:rsidR="00A74D36" w:rsidRPr="00A74D36">
        <w:rPr>
          <w:color w:val="000000"/>
          <w:sz w:val="28"/>
          <w:szCs w:val="28"/>
        </w:rPr>
        <w:t>-</w:t>
      </w:r>
      <w:r w:rsidRPr="00A14BF8">
        <w:rPr>
          <w:color w:val="000000"/>
          <w:sz w:val="28"/>
          <w:szCs w:val="28"/>
        </w:rPr>
        <w:t xml:space="preserve"> от простых невербальных </w:t>
      </w:r>
      <w:r>
        <w:rPr>
          <w:color w:val="000000"/>
          <w:sz w:val="28"/>
          <w:szCs w:val="28"/>
        </w:rPr>
        <w:t>реакций к более сложным пробам.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i/>
          <w:color w:val="000000"/>
          <w:sz w:val="28"/>
          <w:szCs w:val="28"/>
        </w:rPr>
        <w:t>5.1. Коммуникация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Начинаем с наблюдения за тем, как</w:t>
      </w:r>
      <w:r>
        <w:rPr>
          <w:color w:val="000000"/>
          <w:sz w:val="28"/>
          <w:szCs w:val="28"/>
        </w:rPr>
        <w:t xml:space="preserve"> ребёнок устанавливает контакт: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Зрительный контакт: смотрит ли в глаза взрослому?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Реакция на обращение: отзывается ли на «Привет»? Использует ли жесты «дай», «на», «пока», «привет», указательный жест («покажи»)?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Переключаемость внимания: может ли оторваться от игр</w:t>
      </w:r>
      <w:r>
        <w:rPr>
          <w:color w:val="000000"/>
          <w:sz w:val="28"/>
          <w:szCs w:val="28"/>
        </w:rPr>
        <w:t>ушки и посмотреть на взрослого?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i/>
          <w:color w:val="000000"/>
          <w:sz w:val="28"/>
          <w:szCs w:val="28"/>
        </w:rPr>
        <w:t>5.2. Моторное развитие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Общая моторика тесно связана с речевым ра</w:t>
      </w:r>
      <w:r>
        <w:rPr>
          <w:color w:val="000000"/>
          <w:sz w:val="28"/>
          <w:szCs w:val="28"/>
        </w:rPr>
        <w:t>звитием. Оцениваем по возрасту: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2–3 года: бег, прыжки на двух ногах, бросание мяча двумя руками.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3 года: стояние на одной ноге 2–3 секунды, подъём на цыпочки.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4 года: рисование карандашом простых форм.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5 лет: ходьба по гимнастическому бревну, удержание равновесия.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i/>
          <w:color w:val="000000"/>
          <w:sz w:val="28"/>
          <w:szCs w:val="28"/>
        </w:rPr>
        <w:t>5.3. Имитация (подражание)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Имитационная способность </w:t>
      </w:r>
      <w:r w:rsidR="00A74D36" w:rsidRPr="00A74D36">
        <w:rPr>
          <w:color w:val="000000"/>
          <w:sz w:val="28"/>
          <w:szCs w:val="28"/>
        </w:rPr>
        <w:t>-</w:t>
      </w:r>
      <w:r w:rsidRPr="00A14BF8">
        <w:rPr>
          <w:color w:val="000000"/>
          <w:sz w:val="28"/>
          <w:szCs w:val="28"/>
        </w:rPr>
        <w:t xml:space="preserve"> один из главных предикторо</w:t>
      </w:r>
      <w:r>
        <w:rPr>
          <w:color w:val="000000"/>
          <w:sz w:val="28"/>
          <w:szCs w:val="28"/>
        </w:rPr>
        <w:t>в появления речи. Предлагаем: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построить башню из кубиков по образцу;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lastRenderedPageBreak/>
        <w:t xml:space="preserve">· повторить за взрослым движения: присесть, встать, топнуть, хлопнуть, покачать </w:t>
      </w:r>
      <w:r>
        <w:rPr>
          <w:color w:val="000000"/>
          <w:sz w:val="28"/>
          <w:szCs w:val="28"/>
        </w:rPr>
        <w:t>головой, наклониться, прыгнуть.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Если ребёнок не подражает движениям, запуск речи через прямое подражание будет невозможен </w:t>
      </w:r>
      <w:r w:rsidR="00A74D36" w:rsidRPr="00A74D36">
        <w:rPr>
          <w:color w:val="000000"/>
          <w:sz w:val="28"/>
          <w:szCs w:val="28"/>
        </w:rPr>
        <w:t>-</w:t>
      </w:r>
      <w:r w:rsidRPr="00A14BF8">
        <w:rPr>
          <w:color w:val="000000"/>
          <w:sz w:val="28"/>
          <w:szCs w:val="28"/>
        </w:rPr>
        <w:t xml:space="preserve"> тре</w:t>
      </w:r>
      <w:r>
        <w:rPr>
          <w:color w:val="000000"/>
          <w:sz w:val="28"/>
          <w:szCs w:val="28"/>
        </w:rPr>
        <w:t>буется подготовительная работа.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i/>
          <w:color w:val="000000"/>
          <w:sz w:val="28"/>
          <w:szCs w:val="28"/>
        </w:rPr>
        <w:t>5.4. Понимание речи (</w:t>
      </w:r>
      <w:proofErr w:type="spellStart"/>
      <w:r w:rsidRPr="00A14BF8">
        <w:rPr>
          <w:i/>
          <w:color w:val="000000"/>
          <w:sz w:val="28"/>
          <w:szCs w:val="28"/>
        </w:rPr>
        <w:t>импрессивная</w:t>
      </w:r>
      <w:proofErr w:type="spellEnd"/>
      <w:r w:rsidRPr="00A14BF8">
        <w:rPr>
          <w:i/>
          <w:color w:val="000000"/>
          <w:sz w:val="28"/>
          <w:szCs w:val="28"/>
        </w:rPr>
        <w:t xml:space="preserve"> речь)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Проверяем на конкретном материале: игрушки (яблоко, медведь, слон, тарелка, л</w:t>
      </w:r>
      <w:r>
        <w:rPr>
          <w:color w:val="000000"/>
          <w:sz w:val="28"/>
          <w:szCs w:val="28"/>
        </w:rPr>
        <w:t>ожка, машинка, мяч) и действия.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Просим выполнить поручения: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«Покажи слона», «Возьми слона», «Дай слона»,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«Сыпь рукой», «Сыпь ложкой»,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«Стучи молотком», «Стучи мячом»,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«Покажи, где у тебя н</w:t>
      </w:r>
      <w:r>
        <w:rPr>
          <w:color w:val="000000"/>
          <w:sz w:val="28"/>
          <w:szCs w:val="28"/>
        </w:rPr>
        <w:t>ос, живот, нога, рука, голова».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Хорошее понимание речи при её отсутствии — важный </w:t>
      </w:r>
      <w:r w:rsidRPr="00A14BF8">
        <w:rPr>
          <w:i/>
          <w:color w:val="000000"/>
          <w:sz w:val="28"/>
          <w:szCs w:val="28"/>
        </w:rPr>
        <w:t>диагностический признак (например, при моторной алалии).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i/>
          <w:color w:val="000000"/>
          <w:sz w:val="28"/>
          <w:szCs w:val="28"/>
        </w:rPr>
        <w:t>5.5. Умение дуть (направленный выдох)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Ключевой показатель: если ребёнок не может дуть — речи не будет. Почему? Потому что речь — эт</w:t>
      </w:r>
      <w:r>
        <w:rPr>
          <w:color w:val="000000"/>
          <w:sz w:val="28"/>
          <w:szCs w:val="28"/>
        </w:rPr>
        <w:t>о управляемый выдох. Проверяем: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возможность подуть на вертушку, ватку, свечу;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i/>
          <w:color w:val="000000"/>
          <w:sz w:val="28"/>
          <w:szCs w:val="28"/>
        </w:rPr>
        <w:t>· силу и направленность воздушной струи.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i/>
          <w:color w:val="000000"/>
          <w:sz w:val="28"/>
          <w:szCs w:val="28"/>
        </w:rPr>
        <w:t>5.6. Фонематические процессы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Начинаем с неречевого слуха: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lastRenderedPageBreak/>
        <w:t xml:space="preserve">· Различение неречевых звуков: игра «Что звучит?» (музыкальные инструменты </w:t>
      </w:r>
      <w:r w:rsidR="00A74D36" w:rsidRPr="00A74D36">
        <w:rPr>
          <w:color w:val="000000"/>
          <w:sz w:val="28"/>
          <w:szCs w:val="28"/>
        </w:rPr>
        <w:t>-</w:t>
      </w:r>
      <w:r w:rsidRPr="00A14BF8">
        <w:rPr>
          <w:color w:val="000000"/>
          <w:sz w:val="28"/>
          <w:szCs w:val="28"/>
        </w:rPr>
        <w:t xml:space="preserve"> бубен, колокольчик, барабан).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Различение звукоподражаний: игра «Чей голос?» (как м</w:t>
      </w:r>
      <w:r>
        <w:rPr>
          <w:color w:val="000000"/>
          <w:sz w:val="28"/>
          <w:szCs w:val="28"/>
        </w:rPr>
        <w:t>яукает кошка, как лает собака).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Это показывает, способен ли ребёнок дифференцировать акустические сигна</w:t>
      </w:r>
      <w:r>
        <w:rPr>
          <w:color w:val="000000"/>
          <w:sz w:val="28"/>
          <w:szCs w:val="28"/>
        </w:rPr>
        <w:t xml:space="preserve">лы </w:t>
      </w:r>
      <w:r w:rsidR="00A74D36" w:rsidRPr="00A74D3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базу для различения фонем.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i/>
          <w:color w:val="000000"/>
          <w:sz w:val="28"/>
          <w:szCs w:val="28"/>
        </w:rPr>
        <w:t xml:space="preserve">5.7. Артикуляционный </w:t>
      </w:r>
      <w:proofErr w:type="spellStart"/>
      <w:r w:rsidRPr="00A14BF8">
        <w:rPr>
          <w:i/>
          <w:color w:val="000000"/>
          <w:sz w:val="28"/>
          <w:szCs w:val="28"/>
        </w:rPr>
        <w:t>праксис</w:t>
      </w:r>
      <w:proofErr w:type="spellEnd"/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Оцениваем состо</w:t>
      </w:r>
      <w:r>
        <w:rPr>
          <w:color w:val="000000"/>
          <w:sz w:val="28"/>
          <w:szCs w:val="28"/>
        </w:rPr>
        <w:t>яние артикуляционного аппарата: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· Губы: мягкие, нет </w:t>
      </w:r>
      <w:proofErr w:type="spellStart"/>
      <w:r w:rsidRPr="00A14BF8">
        <w:rPr>
          <w:color w:val="000000"/>
          <w:sz w:val="28"/>
          <w:szCs w:val="28"/>
        </w:rPr>
        <w:t>гипертонуса</w:t>
      </w:r>
      <w:proofErr w:type="spellEnd"/>
      <w:r w:rsidRPr="00A14BF8">
        <w:rPr>
          <w:color w:val="000000"/>
          <w:sz w:val="28"/>
          <w:szCs w:val="28"/>
        </w:rPr>
        <w:t>/</w:t>
      </w:r>
      <w:proofErr w:type="spellStart"/>
      <w:r w:rsidRPr="00A14BF8">
        <w:rPr>
          <w:color w:val="000000"/>
          <w:sz w:val="28"/>
          <w:szCs w:val="28"/>
        </w:rPr>
        <w:t>гипотонуса</w:t>
      </w:r>
      <w:proofErr w:type="spellEnd"/>
      <w:r w:rsidRPr="00A14BF8">
        <w:rPr>
          <w:color w:val="000000"/>
          <w:sz w:val="28"/>
          <w:szCs w:val="28"/>
        </w:rPr>
        <w:t>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Уздечка языка: в норме не короче 1,5 см.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Подвижность языка: вверх, вниз, в стороны.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Щёки и зубной ряд: верхняя челюсть перекрывает ниж</w:t>
      </w:r>
      <w:r>
        <w:rPr>
          <w:color w:val="000000"/>
          <w:sz w:val="28"/>
          <w:szCs w:val="28"/>
        </w:rPr>
        <w:t>нюю на 1/3 (нормальный прикус).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Затем просим по</w:t>
      </w:r>
      <w:r>
        <w:rPr>
          <w:color w:val="000000"/>
          <w:sz w:val="28"/>
          <w:szCs w:val="28"/>
        </w:rPr>
        <w:t xml:space="preserve"> подражанию выполнить действия: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широко открыть рот,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улыбнуться,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надуть щёки,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вытянуть губы трубочкой,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сделать губы как при звуке [о],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высунуть язык «лопаткой»,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поднять кончик языка вверх, опустить вниз,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lastRenderedPageBreak/>
        <w:t xml:space="preserve">· коснуться языком </w:t>
      </w:r>
      <w:r>
        <w:rPr>
          <w:color w:val="000000"/>
          <w:sz w:val="28"/>
          <w:szCs w:val="28"/>
        </w:rPr>
        <w:t>правого, затем левого угла рта.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A14BF8">
        <w:rPr>
          <w:i/>
          <w:color w:val="000000"/>
          <w:sz w:val="28"/>
          <w:szCs w:val="28"/>
        </w:rPr>
        <w:t>5.8. Уровень адаптации и бытовые навыки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Туалет: использование памперсов у детей старше 2,5</w:t>
      </w:r>
      <w:r w:rsidR="00A74D36" w:rsidRPr="00A74D36">
        <w:rPr>
          <w:color w:val="000000"/>
          <w:sz w:val="28"/>
          <w:szCs w:val="28"/>
        </w:rPr>
        <w:t>-</w:t>
      </w:r>
      <w:r w:rsidRPr="00A14BF8">
        <w:rPr>
          <w:color w:val="000000"/>
          <w:sz w:val="28"/>
          <w:szCs w:val="28"/>
        </w:rPr>
        <w:t>3 лет может косвенно влиять на задержку речевого развития (</w:t>
      </w:r>
      <w:proofErr w:type="spellStart"/>
      <w:r w:rsidRPr="00A14BF8">
        <w:rPr>
          <w:color w:val="000000"/>
          <w:sz w:val="28"/>
          <w:szCs w:val="28"/>
        </w:rPr>
        <w:t>несформированность</w:t>
      </w:r>
      <w:proofErr w:type="spellEnd"/>
      <w:r w:rsidRPr="00A14BF8">
        <w:rPr>
          <w:color w:val="000000"/>
          <w:sz w:val="28"/>
          <w:szCs w:val="28"/>
        </w:rPr>
        <w:t xml:space="preserve"> контроля и самостоятельности).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· Отделение от мамы: остаётся ли ребёнок с логопедом или только с мамой? Это показатель эмоционально-личностной зрелости и </w:t>
      </w:r>
      <w:r>
        <w:rPr>
          <w:color w:val="000000"/>
          <w:sz w:val="28"/>
          <w:szCs w:val="28"/>
        </w:rPr>
        <w:t>готовности к взаимодействию.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A14BF8">
        <w:rPr>
          <w:b/>
          <w:color w:val="000000"/>
          <w:sz w:val="28"/>
          <w:szCs w:val="28"/>
        </w:rPr>
        <w:t>6. Вывод: почему важна система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Диагностика неговорящего ребёнка должна быть ориентирована не просто на констатацию факта «речи нет», а на выявление механизма нарушения. Только зная механизм, можно составить грамотный коррекци</w:t>
      </w:r>
      <w:r>
        <w:rPr>
          <w:color w:val="000000"/>
          <w:sz w:val="28"/>
          <w:szCs w:val="28"/>
        </w:rPr>
        <w:t>онный маршрут.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Если нет базы - речи негде встать. Главное в диагностике - понять, на каком уровне остановилось развитие, и шаг за шагом создать </w:t>
      </w:r>
      <w:r>
        <w:rPr>
          <w:color w:val="000000"/>
          <w:sz w:val="28"/>
          <w:szCs w:val="28"/>
        </w:rPr>
        <w:t>условия для запуска речи через: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имитацию (как ведущий путь обучения);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внимание к речи и к говорящему;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понимание обращённых слов;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речевое дыхание (управляемый выдох);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· эмоциональ</w:t>
      </w:r>
      <w:r>
        <w:rPr>
          <w:color w:val="000000"/>
          <w:sz w:val="28"/>
          <w:szCs w:val="28"/>
        </w:rPr>
        <w:t>ный контакт (желание общаться).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Без этих кирпичиков не построить ни зву</w:t>
      </w:r>
      <w:r>
        <w:rPr>
          <w:color w:val="000000"/>
          <w:sz w:val="28"/>
          <w:szCs w:val="28"/>
        </w:rPr>
        <w:t>коподражания, ни фразовой речи.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b/>
          <w:color w:val="000000"/>
          <w:sz w:val="28"/>
          <w:szCs w:val="28"/>
        </w:rPr>
      </w:pPr>
      <w:r w:rsidRPr="00A14BF8">
        <w:rPr>
          <w:b/>
          <w:color w:val="000000"/>
          <w:sz w:val="28"/>
          <w:szCs w:val="28"/>
        </w:rPr>
        <w:lastRenderedPageBreak/>
        <w:t>Дополнительная литература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Для углублённого изучения проблемы рекомендуются</w:t>
      </w:r>
      <w:r>
        <w:rPr>
          <w:color w:val="000000"/>
          <w:sz w:val="28"/>
          <w:szCs w:val="28"/>
        </w:rPr>
        <w:t xml:space="preserve"> следующие источники: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1. </w:t>
      </w:r>
      <w:proofErr w:type="spellStart"/>
      <w:r w:rsidRPr="00A14BF8">
        <w:rPr>
          <w:color w:val="000000"/>
          <w:sz w:val="28"/>
          <w:szCs w:val="28"/>
        </w:rPr>
        <w:t>Бурлакова</w:t>
      </w:r>
      <w:proofErr w:type="spellEnd"/>
      <w:r w:rsidRPr="00A14BF8">
        <w:rPr>
          <w:color w:val="000000"/>
          <w:sz w:val="28"/>
          <w:szCs w:val="28"/>
        </w:rPr>
        <w:t xml:space="preserve"> М.К. «Коррекция сложных речевых расстройств».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2. «Логопедическая работа с детьми раннего возраста»: учебное пособие для студентов </w:t>
      </w:r>
      <w:proofErr w:type="spellStart"/>
      <w:r w:rsidRPr="00A14BF8">
        <w:rPr>
          <w:color w:val="000000"/>
          <w:sz w:val="28"/>
          <w:szCs w:val="28"/>
        </w:rPr>
        <w:t>пед</w:t>
      </w:r>
      <w:proofErr w:type="spellEnd"/>
      <w:r w:rsidRPr="00A14BF8">
        <w:rPr>
          <w:color w:val="000000"/>
          <w:sz w:val="28"/>
          <w:szCs w:val="28"/>
        </w:rPr>
        <w:t xml:space="preserve">. вузов. — М.: </w:t>
      </w:r>
      <w:proofErr w:type="gramStart"/>
      <w:r w:rsidRPr="00A14BF8">
        <w:rPr>
          <w:color w:val="000000"/>
          <w:sz w:val="28"/>
          <w:szCs w:val="28"/>
        </w:rPr>
        <w:t>АСТ :</w:t>
      </w:r>
      <w:proofErr w:type="gramEnd"/>
      <w:r w:rsidRPr="00A14BF8">
        <w:rPr>
          <w:color w:val="000000"/>
          <w:sz w:val="28"/>
          <w:szCs w:val="28"/>
        </w:rPr>
        <w:t xml:space="preserve"> </w:t>
      </w:r>
      <w:proofErr w:type="spellStart"/>
      <w:r w:rsidRPr="00A14BF8">
        <w:rPr>
          <w:color w:val="000000"/>
          <w:sz w:val="28"/>
          <w:szCs w:val="28"/>
        </w:rPr>
        <w:t>Астрель</w:t>
      </w:r>
      <w:proofErr w:type="spellEnd"/>
      <w:r w:rsidRPr="00A14BF8">
        <w:rPr>
          <w:color w:val="000000"/>
          <w:sz w:val="28"/>
          <w:szCs w:val="28"/>
        </w:rPr>
        <w:t>, 2007.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3. Гвоздев А.Н. Вопросы изучения детской речи. — М.: Изд-во АПН РСФСР, 1961. Т.1.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4. Филичева Т.Б., </w:t>
      </w:r>
      <w:proofErr w:type="spellStart"/>
      <w:r w:rsidRPr="00A14BF8">
        <w:rPr>
          <w:color w:val="000000"/>
          <w:sz w:val="28"/>
          <w:szCs w:val="28"/>
        </w:rPr>
        <w:t>Чевелева</w:t>
      </w:r>
      <w:proofErr w:type="spellEnd"/>
      <w:r w:rsidRPr="00A14BF8">
        <w:rPr>
          <w:color w:val="000000"/>
          <w:sz w:val="28"/>
          <w:szCs w:val="28"/>
        </w:rPr>
        <w:t xml:space="preserve"> Н.А., Чиркина Г.В. Основы логопедии. — М.: Просвещение, 1989.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5. Волкова С.В. «Инновационные технологии запуска речи у неговорящего ребёнка».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6. Азова О.И. «Система работы с „неговорящими“ детьми разного генеза. Поэтапная программа работы с детьми, имеющими системное недоразвитие речи».</w:t>
      </w:r>
    </w:p>
    <w:p w:rsidR="00A14BF8" w:rsidRPr="00A14BF8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>7. Новикова-Иванцова Т.Н. «Методика формирования языковой системы с неговорящими детьми».</w:t>
      </w:r>
    </w:p>
    <w:p w:rsidR="00EF1954" w:rsidRPr="00EF1954" w:rsidRDefault="00A14BF8" w:rsidP="00A14BF8">
      <w:pPr>
        <w:pStyle w:val="a3"/>
        <w:spacing w:after="187" w:line="360" w:lineRule="auto"/>
        <w:ind w:firstLine="708"/>
        <w:jc w:val="both"/>
        <w:rPr>
          <w:color w:val="000000"/>
          <w:sz w:val="28"/>
          <w:szCs w:val="28"/>
        </w:rPr>
      </w:pPr>
      <w:r w:rsidRPr="00A14BF8">
        <w:rPr>
          <w:color w:val="000000"/>
          <w:sz w:val="28"/>
          <w:szCs w:val="28"/>
        </w:rPr>
        <w:t xml:space="preserve">8. </w:t>
      </w:r>
      <w:proofErr w:type="spellStart"/>
      <w:r w:rsidRPr="00A14BF8">
        <w:rPr>
          <w:color w:val="000000"/>
          <w:sz w:val="28"/>
          <w:szCs w:val="28"/>
        </w:rPr>
        <w:t>Бенилова</w:t>
      </w:r>
      <w:proofErr w:type="spellEnd"/>
      <w:r w:rsidRPr="00A14BF8">
        <w:rPr>
          <w:color w:val="000000"/>
          <w:sz w:val="28"/>
          <w:szCs w:val="28"/>
        </w:rPr>
        <w:t xml:space="preserve"> С.Ю., Резниченко Т.С. Новые подходы к проблеме дифференциальной диагностики системных нарушений речи и детского аутизма // Вопросы психического здоровья детей и подростков. — М., 2010. — № 1.</w:t>
      </w:r>
    </w:p>
    <w:p w:rsidR="00370E87" w:rsidRPr="0003389D" w:rsidRDefault="00370E87" w:rsidP="00EC6028">
      <w:pPr>
        <w:spacing w:line="360" w:lineRule="auto"/>
        <w:jc w:val="both"/>
        <w:rPr>
          <w:rFonts w:ascii="Times New Roman" w:hAnsi="Times New Roman" w:cs="Times New Roman"/>
        </w:rPr>
      </w:pPr>
    </w:p>
    <w:sectPr w:rsidR="00370E87" w:rsidRPr="0003389D" w:rsidSect="009F0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86"/>
    <w:rsid w:val="0003389D"/>
    <w:rsid w:val="000E6CA5"/>
    <w:rsid w:val="001B5279"/>
    <w:rsid w:val="001D0EB1"/>
    <w:rsid w:val="002E6BD8"/>
    <w:rsid w:val="002F6678"/>
    <w:rsid w:val="00317EF6"/>
    <w:rsid w:val="00370E87"/>
    <w:rsid w:val="0048236F"/>
    <w:rsid w:val="00495C6F"/>
    <w:rsid w:val="00635E7C"/>
    <w:rsid w:val="00900D3F"/>
    <w:rsid w:val="00A14BF8"/>
    <w:rsid w:val="00A74D36"/>
    <w:rsid w:val="00D62D86"/>
    <w:rsid w:val="00D96CBC"/>
    <w:rsid w:val="00EC6028"/>
    <w:rsid w:val="00EF1954"/>
    <w:rsid w:val="00F53CAB"/>
    <w:rsid w:val="00FD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66501"/>
  <w15:chartTrackingRefBased/>
  <w15:docId w15:val="{329F6BD1-104B-47DC-A3B7-66FC72ED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D3F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0D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00D3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900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2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Луиза</dc:creator>
  <cp:keywords/>
  <dc:description/>
  <cp:lastModifiedBy>Светлана Сергеевна Клыкова</cp:lastModifiedBy>
  <cp:revision>19</cp:revision>
  <dcterms:created xsi:type="dcterms:W3CDTF">2026-01-15T07:16:00Z</dcterms:created>
  <dcterms:modified xsi:type="dcterms:W3CDTF">2026-05-22T01:24:00Z</dcterms:modified>
</cp:coreProperties>
</file>